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829CC" w14:textId="1DA34190" w:rsidR="00122F85" w:rsidRDefault="003D5F70">
      <w:pPr>
        <w:jc w:val="both"/>
        <w:rPr>
          <w:b/>
          <w:sz w:val="28"/>
          <w:szCs w:val="28"/>
          <w:lang w:val="en-GB"/>
        </w:rPr>
      </w:pPr>
      <w:r>
        <w:rPr>
          <w:b/>
          <w:sz w:val="28"/>
          <w:szCs w:val="28"/>
          <w:lang w:val="en-GB"/>
        </w:rPr>
        <w:t>Exploring volatile organic compound emission from therm</w:t>
      </w:r>
      <w:r w:rsidR="00411E62">
        <w:rPr>
          <w:b/>
          <w:sz w:val="28"/>
          <w:szCs w:val="28"/>
          <w:lang w:val="en-GB"/>
        </w:rPr>
        <w:t>ally</w:t>
      </w:r>
      <w:r>
        <w:rPr>
          <w:b/>
          <w:sz w:val="28"/>
          <w:szCs w:val="28"/>
          <w:lang w:val="en-GB"/>
        </w:rPr>
        <w:t xml:space="preserve"> modified wood by </w:t>
      </w:r>
      <w:r w:rsidR="00D57CD9">
        <w:rPr>
          <w:b/>
          <w:sz w:val="28"/>
          <w:szCs w:val="28"/>
          <w:lang w:val="en-GB"/>
        </w:rPr>
        <w:t>PTR-ToF-MS</w:t>
      </w:r>
    </w:p>
    <w:p w14:paraId="7E4843C2" w14:textId="77777777" w:rsidR="00122F85" w:rsidRDefault="00122F85">
      <w:pPr>
        <w:rPr>
          <w:lang w:val="en-GB"/>
        </w:rPr>
      </w:pPr>
    </w:p>
    <w:p w14:paraId="355C62B6" w14:textId="77777777" w:rsidR="00122F85" w:rsidRDefault="003D5F70">
      <w:pPr>
        <w:rPr>
          <w:b/>
          <w:lang w:val="it-IT"/>
        </w:rPr>
      </w:pPr>
      <w:r>
        <w:rPr>
          <w:b/>
          <w:lang w:val="it-IT"/>
        </w:rPr>
        <w:t>Authors</w:t>
      </w:r>
    </w:p>
    <w:p w14:paraId="3443B610" w14:textId="77777777" w:rsidR="00122F85" w:rsidRDefault="00122F85">
      <w:pPr>
        <w:rPr>
          <w:lang w:val="it-IT"/>
        </w:rPr>
      </w:pPr>
    </w:p>
    <w:p w14:paraId="24AC4467" w14:textId="77777777" w:rsidR="00122F85" w:rsidRDefault="003D5F70">
      <w:pPr>
        <w:jc w:val="both"/>
        <w:rPr>
          <w:lang w:val="it-IT"/>
        </w:rPr>
      </w:pPr>
      <w:r>
        <w:rPr>
          <w:lang w:val="it-IT"/>
        </w:rPr>
        <w:t>Andrea Romano</w:t>
      </w:r>
      <w:r>
        <w:rPr>
          <w:vertAlign w:val="superscript"/>
          <w:lang w:val="it-IT"/>
        </w:rPr>
        <w:t>1</w:t>
      </w:r>
      <w:r>
        <w:rPr>
          <w:lang w:val="it-IT"/>
        </w:rPr>
        <w:t>, Luca Cappellin</w:t>
      </w:r>
      <w:r>
        <w:rPr>
          <w:vertAlign w:val="superscript"/>
          <w:lang w:val="it-IT"/>
        </w:rPr>
        <w:t>1</w:t>
      </w:r>
      <w:r>
        <w:rPr>
          <w:lang w:val="it-IT"/>
        </w:rPr>
        <w:t>, Ignazia Cuccui</w:t>
      </w:r>
      <w:r>
        <w:rPr>
          <w:vertAlign w:val="superscript"/>
          <w:lang w:val="it-IT"/>
        </w:rPr>
        <w:t>2</w:t>
      </w:r>
      <w:r>
        <w:rPr>
          <w:lang w:val="it-IT"/>
        </w:rPr>
        <w:t>, Sara Bogialli</w:t>
      </w:r>
      <w:r>
        <w:rPr>
          <w:vertAlign w:val="superscript"/>
          <w:lang w:val="it-IT"/>
        </w:rPr>
        <w:t>1</w:t>
      </w:r>
      <w:r>
        <w:rPr>
          <w:lang w:val="it-IT"/>
        </w:rPr>
        <w:t>, Iuliia Khomenko</w:t>
      </w:r>
      <w:r>
        <w:rPr>
          <w:vertAlign w:val="superscript"/>
          <w:lang w:val="it-IT"/>
        </w:rPr>
        <w:t>3</w:t>
      </w:r>
      <w:r>
        <w:rPr>
          <w:lang w:val="it-IT"/>
        </w:rPr>
        <w:t>, Matteo Tonezzer</w:t>
      </w:r>
      <w:r>
        <w:rPr>
          <w:vertAlign w:val="superscript"/>
          <w:lang w:val="it-IT"/>
        </w:rPr>
        <w:t>4</w:t>
      </w:r>
      <w:r>
        <w:rPr>
          <w:lang w:val="it-IT"/>
        </w:rPr>
        <w:t>, Franco Biasioli</w:t>
      </w:r>
      <w:r>
        <w:rPr>
          <w:vertAlign w:val="superscript"/>
          <w:lang w:val="it-IT"/>
        </w:rPr>
        <w:t>3</w:t>
      </w:r>
      <w:r>
        <w:rPr>
          <w:lang w:val="it-IT"/>
        </w:rPr>
        <w:t>, Paolo Pastore</w:t>
      </w:r>
      <w:r>
        <w:rPr>
          <w:vertAlign w:val="superscript"/>
          <w:lang w:val="it-IT"/>
        </w:rPr>
        <w:t>1</w:t>
      </w:r>
      <w:r>
        <w:rPr>
          <w:lang w:val="it-IT"/>
        </w:rPr>
        <w:t>, Ottaviano Allegretti</w:t>
      </w:r>
      <w:r>
        <w:rPr>
          <w:vertAlign w:val="superscript"/>
          <w:lang w:val="it-IT"/>
        </w:rPr>
        <w:t>2*</w:t>
      </w:r>
    </w:p>
    <w:p w14:paraId="7FC8ECEB" w14:textId="77777777" w:rsidR="00122F85" w:rsidRDefault="00122F85">
      <w:pPr>
        <w:rPr>
          <w:lang w:val="it-IT"/>
        </w:rPr>
      </w:pPr>
    </w:p>
    <w:p w14:paraId="5A35FAD7" w14:textId="77777777" w:rsidR="00122F85" w:rsidRDefault="003D5F70">
      <w:pPr>
        <w:jc w:val="both"/>
        <w:rPr>
          <w:lang w:val="en-GB"/>
        </w:rPr>
      </w:pPr>
      <w:r>
        <w:rPr>
          <w:lang w:val="en-GB"/>
        </w:rPr>
        <w:t xml:space="preserve">Affiliation: </w:t>
      </w:r>
    </w:p>
    <w:p w14:paraId="63E4F387" w14:textId="77777777" w:rsidR="00122F85" w:rsidRDefault="003D5F70" w:rsidP="001917E4">
      <w:pPr>
        <w:jc w:val="both"/>
        <w:rPr>
          <w:sz w:val="20"/>
          <w:szCs w:val="20"/>
          <w:vertAlign w:val="superscript"/>
          <w:lang w:val="en-GB"/>
        </w:rPr>
      </w:pPr>
      <w:r>
        <w:rPr>
          <w:sz w:val="20"/>
          <w:szCs w:val="20"/>
          <w:vertAlign w:val="superscript"/>
          <w:lang w:val="en-GB"/>
        </w:rPr>
        <w:t>1</w:t>
      </w:r>
      <w:r>
        <w:rPr>
          <w:sz w:val="20"/>
          <w:szCs w:val="20"/>
          <w:lang w:val="en-GB"/>
        </w:rPr>
        <w:t xml:space="preserve"> Department of Chemistry, University of Padova, Via Marzolo, 1 – 35131 Padova – Italy</w:t>
      </w:r>
      <w:r>
        <w:rPr>
          <w:sz w:val="20"/>
          <w:szCs w:val="20"/>
          <w:vertAlign w:val="superscript"/>
          <w:lang w:val="en-GB"/>
        </w:rPr>
        <w:t xml:space="preserve"> </w:t>
      </w:r>
    </w:p>
    <w:p w14:paraId="615F71AF" w14:textId="77777777" w:rsidR="00122F85" w:rsidRPr="00835CB7" w:rsidRDefault="003D5F70" w:rsidP="001917E4">
      <w:pPr>
        <w:jc w:val="both"/>
        <w:rPr>
          <w:sz w:val="20"/>
          <w:szCs w:val="20"/>
          <w:vertAlign w:val="superscript"/>
          <w:lang w:val="en-GB"/>
        </w:rPr>
      </w:pPr>
      <w:r w:rsidRPr="00835CB7">
        <w:rPr>
          <w:sz w:val="20"/>
          <w:szCs w:val="20"/>
          <w:vertAlign w:val="superscript"/>
          <w:lang w:val="en-GB"/>
        </w:rPr>
        <w:t>2</w:t>
      </w:r>
      <w:r w:rsidRPr="00835CB7">
        <w:rPr>
          <w:sz w:val="20"/>
          <w:szCs w:val="20"/>
          <w:lang w:val="en-GB"/>
        </w:rPr>
        <w:t xml:space="preserve"> CNR-IBE Istituto per la Bioeconomia of the National Research Council of I</w:t>
      </w:r>
      <w:r>
        <w:rPr>
          <w:sz w:val="20"/>
          <w:szCs w:val="20"/>
          <w:lang w:val="en-GB"/>
        </w:rPr>
        <w:t>taly</w:t>
      </w:r>
      <w:r w:rsidRPr="00835CB7">
        <w:rPr>
          <w:sz w:val="20"/>
          <w:szCs w:val="20"/>
          <w:lang w:val="en-GB"/>
        </w:rPr>
        <w:t>, via Biasi, 75 – 38010 San Michele all'Adige – TN, Italy</w:t>
      </w:r>
    </w:p>
    <w:p w14:paraId="25993924" w14:textId="14F6766E" w:rsidR="00122F85" w:rsidRDefault="003D5F70" w:rsidP="001917E4">
      <w:pPr>
        <w:jc w:val="both"/>
        <w:rPr>
          <w:sz w:val="20"/>
          <w:szCs w:val="20"/>
          <w:lang w:val="en-GB"/>
        </w:rPr>
      </w:pPr>
      <w:r>
        <w:rPr>
          <w:sz w:val="20"/>
          <w:szCs w:val="20"/>
          <w:vertAlign w:val="superscript"/>
          <w:lang w:val="en-GB"/>
        </w:rPr>
        <w:t xml:space="preserve">3 </w:t>
      </w:r>
      <w:r w:rsidR="000523B9">
        <w:rPr>
          <w:sz w:val="20"/>
          <w:szCs w:val="20"/>
          <w:lang w:val="en-GB"/>
        </w:rPr>
        <w:t>Research and Innovation Centre</w:t>
      </w:r>
      <w:r>
        <w:rPr>
          <w:sz w:val="20"/>
          <w:szCs w:val="20"/>
          <w:lang w:val="en-GB"/>
        </w:rPr>
        <w:t>, Edmund Mach Foundation, Via Edmund Mach, 1 - 38010 San Michele all'Adige – TN, Italy</w:t>
      </w:r>
    </w:p>
    <w:p w14:paraId="0231E982" w14:textId="77777777" w:rsidR="00122F85" w:rsidRDefault="003D5F70" w:rsidP="001917E4">
      <w:pPr>
        <w:jc w:val="both"/>
        <w:rPr>
          <w:sz w:val="20"/>
          <w:szCs w:val="20"/>
          <w:vertAlign w:val="superscript"/>
          <w:lang w:val="it-IT"/>
        </w:rPr>
      </w:pPr>
      <w:r>
        <w:rPr>
          <w:sz w:val="20"/>
          <w:szCs w:val="20"/>
          <w:vertAlign w:val="superscript"/>
          <w:lang w:val="it-IT"/>
        </w:rPr>
        <w:t xml:space="preserve">4 </w:t>
      </w:r>
      <w:r>
        <w:rPr>
          <w:sz w:val="20"/>
          <w:szCs w:val="20"/>
          <w:lang w:val="it-IT"/>
        </w:rPr>
        <w:t>CNR-IMEM, via della Cascata, POVO – TN, Italy</w:t>
      </w:r>
    </w:p>
    <w:p w14:paraId="4FD7C205" w14:textId="77777777" w:rsidR="00122F85" w:rsidRDefault="00122F85">
      <w:pPr>
        <w:jc w:val="both"/>
        <w:rPr>
          <w:sz w:val="20"/>
          <w:szCs w:val="20"/>
          <w:lang w:val="it-IT"/>
        </w:rPr>
      </w:pPr>
    </w:p>
    <w:p w14:paraId="233B1096" w14:textId="77777777" w:rsidR="00122F85" w:rsidRPr="00835CB7" w:rsidRDefault="003D5F70">
      <w:pPr>
        <w:jc w:val="both"/>
        <w:rPr>
          <w:lang w:val="en-GB"/>
        </w:rPr>
      </w:pPr>
      <w:r w:rsidRPr="00835CB7">
        <w:rPr>
          <w:lang w:val="en-GB"/>
        </w:rPr>
        <w:t>*Corresponding author:</w:t>
      </w:r>
    </w:p>
    <w:p w14:paraId="2BF82203" w14:textId="77777777" w:rsidR="00122F85" w:rsidRPr="00835CB7" w:rsidRDefault="00000000">
      <w:pPr>
        <w:jc w:val="both"/>
        <w:rPr>
          <w:lang w:val="en-GB"/>
        </w:rPr>
      </w:pPr>
      <w:hyperlink r:id="rId8" w:tooltip="mailto:ottaviano.allegretti@ibe.cnr.it" w:history="1">
        <w:r w:rsidR="003D5F70" w:rsidRPr="00835CB7">
          <w:rPr>
            <w:rStyle w:val="Hyperlink"/>
            <w:lang w:val="en-GB"/>
          </w:rPr>
          <w:t>ottaviano.allegretti@ibe.cnr.it</w:t>
        </w:r>
      </w:hyperlink>
    </w:p>
    <w:p w14:paraId="693D868F" w14:textId="77777777" w:rsidR="00122F85" w:rsidRDefault="003D5F70">
      <w:pPr>
        <w:jc w:val="both"/>
        <w:rPr>
          <w:lang w:val="it-IT"/>
        </w:rPr>
      </w:pPr>
      <w:r>
        <w:rPr>
          <w:lang w:val="it-IT"/>
        </w:rPr>
        <w:t>CNR-IBE, via Biasi, 75 – 38010 San Michele all'Adige – TN, Italy</w:t>
      </w:r>
    </w:p>
    <w:p w14:paraId="78600200" w14:textId="77777777" w:rsidR="00122F85" w:rsidRDefault="00122F85">
      <w:pPr>
        <w:jc w:val="both"/>
        <w:rPr>
          <w:lang w:val="it-IT"/>
        </w:rPr>
      </w:pPr>
    </w:p>
    <w:p w14:paraId="1639A2FA" w14:textId="0D529507" w:rsidR="00122F85" w:rsidRDefault="003D5F70">
      <w:pPr>
        <w:jc w:val="both"/>
        <w:rPr>
          <w:lang w:val="en-GB"/>
        </w:rPr>
      </w:pPr>
      <w:r>
        <w:rPr>
          <w:lang w:val="en-GB"/>
        </w:rPr>
        <w:t>Keywords: Volatile organic compounds; wood; thermal treatment; PTR-ToF-MS.</w:t>
      </w:r>
    </w:p>
    <w:p w14:paraId="794845B2" w14:textId="77777777" w:rsidR="0030516C" w:rsidRDefault="0030516C">
      <w:pPr>
        <w:rPr>
          <w:lang w:val="en-GB"/>
        </w:rPr>
      </w:pPr>
      <w:r>
        <w:rPr>
          <w:lang w:val="en-GB"/>
        </w:rPr>
        <w:br w:type="page"/>
      </w:r>
    </w:p>
    <w:p w14:paraId="4F2AC977" w14:textId="77777777" w:rsidR="00122F85" w:rsidRDefault="003D5F70">
      <w:pPr>
        <w:rPr>
          <w:b/>
          <w:lang w:val="en-GB"/>
        </w:rPr>
      </w:pPr>
      <w:r>
        <w:rPr>
          <w:b/>
          <w:lang w:val="en-GB"/>
        </w:rPr>
        <w:lastRenderedPageBreak/>
        <w:t>Abstract</w:t>
      </w:r>
    </w:p>
    <w:p w14:paraId="377FC9A6" w14:textId="77777777" w:rsidR="00122F85" w:rsidRDefault="00122F85" w:rsidP="00CA35DF">
      <w:pPr>
        <w:jc w:val="both"/>
        <w:rPr>
          <w:lang w:val="en-GB"/>
        </w:rPr>
      </w:pPr>
    </w:p>
    <w:p w14:paraId="397B331F" w14:textId="6D822E7B" w:rsidR="00F67102" w:rsidRDefault="003D5F70" w:rsidP="00CA35DF">
      <w:pPr>
        <w:spacing w:line="360" w:lineRule="auto"/>
        <w:jc w:val="both"/>
        <w:rPr>
          <w:lang w:val="en-GB"/>
        </w:rPr>
      </w:pPr>
      <w:r>
        <w:rPr>
          <w:lang w:val="en-GB"/>
        </w:rPr>
        <w:t xml:space="preserve">Thermal modification of wood is a </w:t>
      </w:r>
      <w:r w:rsidR="00E81FDE">
        <w:rPr>
          <w:lang w:val="en-GB"/>
        </w:rPr>
        <w:t>well-known</w:t>
      </w:r>
      <w:r>
        <w:rPr>
          <w:lang w:val="en-GB"/>
        </w:rPr>
        <w:t xml:space="preserve"> industrial process performed to increase durability</w:t>
      </w:r>
      <w:r w:rsidR="00276950">
        <w:rPr>
          <w:lang w:val="en-GB"/>
        </w:rPr>
        <w:t xml:space="preserve"> and dimensional stability</w:t>
      </w:r>
      <w:r>
        <w:rPr>
          <w:lang w:val="en-GB"/>
        </w:rPr>
        <w:t xml:space="preserve"> or </w:t>
      </w:r>
      <w:r w:rsidR="00276950">
        <w:rPr>
          <w:lang w:val="en-GB"/>
        </w:rPr>
        <w:t xml:space="preserve">to </w:t>
      </w:r>
      <w:r>
        <w:rPr>
          <w:lang w:val="en-GB"/>
        </w:rPr>
        <w:t xml:space="preserve">change </w:t>
      </w:r>
      <w:r w:rsidR="003F2682">
        <w:rPr>
          <w:lang w:val="en-GB"/>
        </w:rPr>
        <w:t xml:space="preserve">the </w:t>
      </w:r>
      <w:r w:rsidR="00276950">
        <w:rPr>
          <w:lang w:val="en-GB"/>
        </w:rPr>
        <w:t xml:space="preserve">colour </w:t>
      </w:r>
      <w:r>
        <w:rPr>
          <w:lang w:val="en-GB"/>
        </w:rPr>
        <w:t xml:space="preserve">of the </w:t>
      </w:r>
      <w:r w:rsidR="00276950">
        <w:rPr>
          <w:lang w:val="en-GB"/>
        </w:rPr>
        <w:t>natural wood</w:t>
      </w:r>
      <w:r>
        <w:rPr>
          <w:lang w:val="en-GB"/>
        </w:rPr>
        <w:t xml:space="preserve">. The </w:t>
      </w:r>
      <w:r w:rsidR="009168A7">
        <w:rPr>
          <w:lang w:val="en-GB"/>
        </w:rPr>
        <w:t>treatment</w:t>
      </w:r>
      <w:r>
        <w:rPr>
          <w:lang w:val="en-GB"/>
        </w:rPr>
        <w:t xml:space="preserve"> </w:t>
      </w:r>
      <w:r w:rsidR="00597875">
        <w:rPr>
          <w:lang w:val="en-GB"/>
        </w:rPr>
        <w:t>influences</w:t>
      </w:r>
      <w:r>
        <w:rPr>
          <w:lang w:val="en-GB"/>
        </w:rPr>
        <w:t xml:space="preserve"> many other properties of wood including the emission of volatile organic compounds (VOCs). VOC </w:t>
      </w:r>
      <w:r w:rsidR="004439BB">
        <w:rPr>
          <w:lang w:val="en-GB"/>
        </w:rPr>
        <w:t>release</w:t>
      </w:r>
      <w:r>
        <w:rPr>
          <w:lang w:val="en-GB"/>
        </w:rPr>
        <w:t xml:space="preserve"> ultimately affects the quality of indoor air and the capability to have low VOC emission is often included as a key parameter for the attribution of quality labels. </w:t>
      </w:r>
    </w:p>
    <w:p w14:paraId="3C67C2F7" w14:textId="59D2E6F3" w:rsidR="00122F85" w:rsidRDefault="00425BD3" w:rsidP="00CA35DF">
      <w:pPr>
        <w:spacing w:line="360" w:lineRule="auto"/>
        <w:jc w:val="both"/>
        <w:rPr>
          <w:lang w:val="en-GB"/>
        </w:rPr>
      </w:pPr>
      <w:r w:rsidRPr="00CA35DF">
        <w:rPr>
          <w:lang w:val="en-GB"/>
        </w:rPr>
        <w:t xml:space="preserve">In the present work, wood from six tree species was submitted to different types of treatment and VOC profiling was carried out on both treated and untreated samples by means of PTR-ToF-MS. </w:t>
      </w:r>
      <w:r w:rsidR="007017F6" w:rsidRPr="00CA35DF">
        <w:rPr>
          <w:lang w:val="en-GB"/>
        </w:rPr>
        <w:t xml:space="preserve">This work represents the </w:t>
      </w:r>
      <w:r w:rsidR="00F549ED" w:rsidRPr="00CA35DF">
        <w:rPr>
          <w:lang w:val="en-GB"/>
        </w:rPr>
        <w:t xml:space="preserve">first example of application of PTR-ToF-MS to </w:t>
      </w:r>
      <w:r w:rsidR="000E722E" w:rsidRPr="00CA35DF">
        <w:rPr>
          <w:lang w:val="en-GB"/>
        </w:rPr>
        <w:t xml:space="preserve">the </w:t>
      </w:r>
      <w:r w:rsidR="00B94CC0" w:rsidRPr="00CA35DF">
        <w:rPr>
          <w:lang w:val="en-GB"/>
        </w:rPr>
        <w:t>analysis</w:t>
      </w:r>
      <w:r w:rsidR="000E722E" w:rsidRPr="00CA35DF">
        <w:rPr>
          <w:lang w:val="en-GB"/>
        </w:rPr>
        <w:t xml:space="preserve"> of </w:t>
      </w:r>
      <w:r w:rsidR="00B94CC0" w:rsidRPr="00CA35DF">
        <w:rPr>
          <w:lang w:val="en-GB"/>
        </w:rPr>
        <w:t xml:space="preserve">VOCs emitted by </w:t>
      </w:r>
      <w:r w:rsidR="005E56B3">
        <w:rPr>
          <w:lang w:val="en-GB"/>
        </w:rPr>
        <w:t xml:space="preserve">thermally treated </w:t>
      </w:r>
      <w:r w:rsidR="00B94CC0" w:rsidRPr="00CA35DF">
        <w:rPr>
          <w:lang w:val="en-GB"/>
        </w:rPr>
        <w:t xml:space="preserve">wood. </w:t>
      </w:r>
      <w:r w:rsidR="003354EA" w:rsidRPr="00CA35DF">
        <w:rPr>
          <w:lang w:val="en-GB"/>
        </w:rPr>
        <w:t xml:space="preserve">It was possible to determine the main classes of wood VOCs without the need </w:t>
      </w:r>
      <w:r w:rsidR="005E0894" w:rsidRPr="00CA35DF">
        <w:rPr>
          <w:lang w:val="en-GB"/>
        </w:rPr>
        <w:t>for</w:t>
      </w:r>
      <w:r w:rsidR="003354EA" w:rsidRPr="00CA35DF">
        <w:rPr>
          <w:lang w:val="en-GB"/>
        </w:rPr>
        <w:t xml:space="preserve"> sample pre-treatment and t</w:t>
      </w:r>
      <w:r w:rsidR="005C2E5C" w:rsidRPr="00CA35DF">
        <w:rPr>
          <w:lang w:val="en-GB"/>
        </w:rPr>
        <w:t>he rapidity</w:t>
      </w:r>
      <w:r w:rsidR="0027623B" w:rsidRPr="00CA35DF">
        <w:rPr>
          <w:lang w:val="en-GB"/>
        </w:rPr>
        <w:t xml:space="preserve"> </w:t>
      </w:r>
      <w:r w:rsidR="00710061" w:rsidRPr="00CA35DF">
        <w:rPr>
          <w:lang w:val="en-GB"/>
        </w:rPr>
        <w:t xml:space="preserve">of the analysis allowed to </w:t>
      </w:r>
      <w:r w:rsidR="00D825A9" w:rsidRPr="00CA35DF">
        <w:rPr>
          <w:lang w:val="en-GB"/>
        </w:rPr>
        <w:t xml:space="preserve">inspect the effect </w:t>
      </w:r>
      <w:r w:rsidR="00B719B6" w:rsidRPr="00CA35DF">
        <w:rPr>
          <w:lang w:val="en-GB"/>
        </w:rPr>
        <w:t xml:space="preserve">of </w:t>
      </w:r>
      <w:r w:rsidR="00C477D4" w:rsidRPr="00CA35DF">
        <w:rPr>
          <w:lang w:val="en-GB"/>
        </w:rPr>
        <w:t>many different</w:t>
      </w:r>
      <w:r w:rsidR="00B719B6" w:rsidRPr="00CA35DF">
        <w:rPr>
          <w:lang w:val="en-GB"/>
        </w:rPr>
        <w:t xml:space="preserve"> variables, such as tree species, </w:t>
      </w:r>
      <w:r w:rsidR="00646EA2" w:rsidRPr="00CA35DF">
        <w:rPr>
          <w:lang w:val="en-GB"/>
        </w:rPr>
        <w:t>tissue type,</w:t>
      </w:r>
      <w:r w:rsidR="00D825A9" w:rsidRPr="00CA35DF">
        <w:rPr>
          <w:lang w:val="en-GB"/>
        </w:rPr>
        <w:t xml:space="preserve"> </w:t>
      </w:r>
      <w:r w:rsidR="00B719B6" w:rsidRPr="00CA35DF">
        <w:rPr>
          <w:lang w:val="en-GB"/>
        </w:rPr>
        <w:t>treatment</w:t>
      </w:r>
      <w:r w:rsidR="00D825A9" w:rsidRPr="00CA35DF">
        <w:rPr>
          <w:lang w:val="en-GB"/>
        </w:rPr>
        <w:t xml:space="preserve"> conditions</w:t>
      </w:r>
      <w:r w:rsidR="00646EA2" w:rsidRPr="00CA35DF">
        <w:rPr>
          <w:lang w:val="en-GB"/>
        </w:rPr>
        <w:t xml:space="preserve"> and the combination thereof.</w:t>
      </w:r>
      <w:r w:rsidR="00CA35DF" w:rsidRPr="00CA35DF">
        <w:rPr>
          <w:lang w:val="en-GB"/>
        </w:rPr>
        <w:t xml:space="preserve"> Hardwood and softwood showed different release profiles under all tested conditions</w:t>
      </w:r>
      <w:r w:rsidR="00CA35DF">
        <w:rPr>
          <w:lang w:val="en-GB"/>
        </w:rPr>
        <w:t xml:space="preserve"> and compounds with similar chemical structures reacted in similar ways to treatment. W</w:t>
      </w:r>
      <w:r w:rsidR="003D5F70">
        <w:rPr>
          <w:lang w:val="en-GB"/>
        </w:rPr>
        <w:t>ith its high sensitivity and throughput, PTR-ToF-MS appears to be a very powerful analytical tool</w:t>
      </w:r>
      <w:r w:rsidR="00E94494">
        <w:rPr>
          <w:lang w:val="en-GB"/>
        </w:rPr>
        <w:t>, useful in</w:t>
      </w:r>
      <w:r w:rsidR="007C5C1E">
        <w:rPr>
          <w:lang w:val="en-GB"/>
        </w:rPr>
        <w:t xml:space="preserve"> supporting the selection of wood materials </w:t>
      </w:r>
      <w:r w:rsidR="00FE5D73">
        <w:rPr>
          <w:lang w:val="en-GB"/>
        </w:rPr>
        <w:t>for different end uses</w:t>
      </w:r>
      <w:r w:rsidR="007C5C1E">
        <w:rPr>
          <w:lang w:val="en-GB"/>
        </w:rPr>
        <w:t xml:space="preserve">. </w:t>
      </w:r>
      <w:r w:rsidR="003D5F70">
        <w:rPr>
          <w:lang w:val="en-GB"/>
        </w:rPr>
        <w:t xml:space="preserve"> </w:t>
      </w:r>
    </w:p>
    <w:p w14:paraId="73AF5984" w14:textId="77777777" w:rsidR="00122F85" w:rsidRDefault="003D5F70">
      <w:pPr>
        <w:jc w:val="both"/>
        <w:rPr>
          <w:b/>
          <w:lang w:val="en-GB"/>
        </w:rPr>
      </w:pPr>
      <w:r>
        <w:rPr>
          <w:lang w:val="en-GB"/>
        </w:rPr>
        <w:br w:type="page"/>
      </w:r>
      <w:r>
        <w:rPr>
          <w:b/>
          <w:lang w:val="en-GB"/>
        </w:rPr>
        <w:lastRenderedPageBreak/>
        <w:t>Introduction</w:t>
      </w:r>
    </w:p>
    <w:p w14:paraId="290A0A5A" w14:textId="77777777" w:rsidR="00122F85" w:rsidRDefault="00122F85">
      <w:pPr>
        <w:jc w:val="both"/>
        <w:rPr>
          <w:lang w:val="en-GB"/>
        </w:rPr>
      </w:pPr>
    </w:p>
    <w:p w14:paraId="013BD9AB" w14:textId="1EC7C76C" w:rsidR="00122F85" w:rsidRDefault="0052401F">
      <w:pPr>
        <w:spacing w:line="360" w:lineRule="auto"/>
        <w:jc w:val="both"/>
        <w:rPr>
          <w:lang w:val="en-GB"/>
        </w:rPr>
      </w:pPr>
      <w:r>
        <w:rPr>
          <w:lang w:val="en-GB"/>
        </w:rPr>
        <w:t>Like m</w:t>
      </w:r>
      <w:r w:rsidR="003D5F70">
        <w:rPr>
          <w:lang w:val="en-GB"/>
        </w:rPr>
        <w:t>ost materials</w:t>
      </w:r>
      <w:r>
        <w:rPr>
          <w:lang w:val="en-GB"/>
        </w:rPr>
        <w:t>,</w:t>
      </w:r>
      <w:r w:rsidR="003D5F70">
        <w:rPr>
          <w:lang w:val="en-GB"/>
        </w:rPr>
        <w:t xml:space="preserve"> wood releases volatile organic compounds (VOCs) that affect the quality and composition of indoor air, with possible consequences on human and animal health </w:t>
      </w:r>
      <w:r w:rsidR="003D5F70">
        <w:rPr>
          <w:lang w:val="en-GB"/>
        </w:rPr>
        <w:fldChar w:fldCharType="begin"/>
      </w:r>
      <w:r w:rsidR="001052AE">
        <w:rPr>
          <w:lang w:val="en-GB"/>
        </w:rPr>
        <w:instrText xml:space="preserve"> ADDIN ZOTERO_ITEM CSL_CITATION {"citationID":"spLbzU2r","properties":{"formattedCitation":"[1,2]","plainCitation":"[1,2]","noteIndex":0},"citationItems":[{"id":3549,"uris":["http://zotero.org/users/local/FaDQTzcp/items/U2ALSGGV"],"itemData":{"id":3549,"type":"article-journal","abstract":"Volatile organic compounds (VOCs) are contained in various construction materials and interior equipment. Their higher concentrations in the indoor air are associated with negative effects on human health and are disputed in terms of health risk, since people spend a considerable part of their lifetime indoors. Therefore, the presence of VOCs in indoor air is a case of concern regarding sick building syndrome (SBS). From a historical point of view, wood and wood-based panels represent a widely used material. Nevertheless, wood appears to be nowadays a product and a material of a sustainable future. Depending on wood extractives’ composition and an abundance of diverse wood species, different profiles of volatiles are emitted. In case of wood-based panels, the impact of adhesives and additives that are essentially applied aiming to adjust the panels’ properties is even enriching this cocktail of chemicals. This paper comprises the issue of VOCs emitted from wood and wood-based panels. The most abundant VOCs were summarized. The options of VOCs for analytical determination from these matrixes are described with their benefits and limitations.","container-title":"Polymers","DOI":"10.3390/polym12102289","ISSN":"2073-4360","issue":"10","journalAbbreviation":"Polymers","language":"en","page":"2289","source":"DOI.org (Crossref)","title":"Volatile Organic Compounds (VOCs) from Wood and Wood-Based Panels: Methods for Evaluation, Potential Health Risks, and Mitigation","title-short":"Volatile Organic Compounds (VOCs) from Wood and Wood-Based Panels","volume":"12","author":[{"family":"Adamová","given":"Tereza"},{"family":"Hradecký","given":"Jaromír"},{"family":"Pánek","given":"Miloš"}],"issued":{"date-parts":[["2020",10,6]]}}},{"id":898,"uris":["http://zotero.org/users/local/FaDQTzcp/items/P9NYP9IC"],"itemData":{"id":898,"type":"chapter","container-title":"Toxicity of Building Materials","ISBN":"978-0-85709-122-2","language":"en","note":"DOI: 10.1533/9780857096357.76","page":"76-121","publisher":"Elsevier","source":"DOI.org (Crossref)","title":"Materials responsible for formaldehyde and volatile organic compound (VOC) emissions","URL":"https://linkinghub.elsevier.com/retrieve/pii/B9780857091222500048","author":[{"family":"Liu","given":"Z."},{"family":"Little","given":"J.C."}],"accessed":{"date-parts":[["2022",3,22]]},"issued":{"date-parts":[["2012"]]}}}],"schema":"https://github.com/citation-style-language/schema/raw/master/csl-citation.json"} </w:instrText>
      </w:r>
      <w:r w:rsidR="003D5F70">
        <w:rPr>
          <w:lang w:val="en-GB"/>
        </w:rPr>
        <w:fldChar w:fldCharType="separate"/>
      </w:r>
      <w:r w:rsidR="001052AE" w:rsidRPr="001052AE">
        <w:rPr>
          <w:rFonts w:ascii="Cambria" w:hAnsi="Cambria"/>
        </w:rPr>
        <w:t>[1,2]</w:t>
      </w:r>
      <w:r w:rsidR="003D5F70">
        <w:rPr>
          <w:lang w:val="en-GB"/>
        </w:rPr>
        <w:fldChar w:fldCharType="end"/>
      </w:r>
      <w:r w:rsidR="003D5F70">
        <w:rPr>
          <w:lang w:val="en-GB"/>
        </w:rPr>
        <w:t xml:space="preserve">. </w:t>
      </w:r>
      <w:r w:rsidR="009B618C">
        <w:rPr>
          <w:lang w:val="en-GB"/>
        </w:rPr>
        <w:t>The US</w:t>
      </w:r>
      <w:r w:rsidR="003D5F70">
        <w:rPr>
          <w:lang w:val="en-GB"/>
        </w:rPr>
        <w:t>, as well as several European countries</w:t>
      </w:r>
      <w:r w:rsidR="009B618C">
        <w:rPr>
          <w:lang w:val="en-GB"/>
        </w:rPr>
        <w:t>,</w:t>
      </w:r>
      <w:r w:rsidR="003D5F70">
        <w:rPr>
          <w:lang w:val="en-GB"/>
        </w:rPr>
        <w:t xml:space="preserve"> are applying increasing restrictions to the VOC emissions of wood materials to be used in furniture and construction materials. The European Union publishes a list of target compounds associated to Lowest Concentration of Interest values (LCI</w:t>
      </w:r>
      <w:r w:rsidR="00F942B7">
        <w:rPr>
          <w:lang w:val="en-GB"/>
        </w:rPr>
        <w:t xml:space="preserve"> values</w:t>
      </w:r>
      <w:r w:rsidR="003D5F70">
        <w:rPr>
          <w:lang w:val="en-GB"/>
        </w:rPr>
        <w:t xml:space="preserve">, </w:t>
      </w:r>
      <w:hyperlink r:id="rId9" w:tooltip="https://ec.europa.eu/growth/sectors/construction/eu-lci-subgroup/eu-lci-values_it" w:history="1">
        <w:r w:rsidR="003D5F70">
          <w:rPr>
            <w:rStyle w:val="Hyperlink"/>
            <w:lang w:val="en-GB"/>
          </w:rPr>
          <w:t>https://ec.europa.eu/growth/sectors/construction/eu-lci-subgroup/eu-lci-values_it</w:t>
        </w:r>
      </w:hyperlink>
      <w:r w:rsidR="003D5F70">
        <w:rPr>
          <w:lang w:val="en-GB"/>
        </w:rPr>
        <w:t xml:space="preserve"> ): as of December 2021, this list contained nearly 200 individual entries</w:t>
      </w:r>
      <w:r w:rsidR="00C81842">
        <w:rPr>
          <w:lang w:val="en-GB"/>
        </w:rPr>
        <w:t xml:space="preserve">, </w:t>
      </w:r>
      <w:r w:rsidR="0073516A">
        <w:rPr>
          <w:lang w:val="en-GB"/>
        </w:rPr>
        <w:t>each corresponding to a compound of possible concern, based on a combination of toxicological and epidemiological data</w:t>
      </w:r>
      <w:r w:rsidR="003D5F70">
        <w:rPr>
          <w:lang w:val="en-GB"/>
        </w:rPr>
        <w:t xml:space="preserve">. National institutions within the EU have adopted analogous lists of compounds and concentrations which are then used </w:t>
      </w:r>
      <w:r w:rsidR="00F506C9">
        <w:rPr>
          <w:lang w:val="en-GB"/>
        </w:rPr>
        <w:t xml:space="preserve">to establish guidelines </w:t>
      </w:r>
      <w:r w:rsidR="003D5F70">
        <w:rPr>
          <w:lang w:val="en-GB"/>
        </w:rPr>
        <w:t xml:space="preserve">for the attribution of ‘EcoLabels’ </w:t>
      </w:r>
      <w:r w:rsidR="003D5F70">
        <w:rPr>
          <w:lang w:val="en-GB"/>
        </w:rPr>
        <w:fldChar w:fldCharType="begin"/>
      </w:r>
      <w:r w:rsidR="001052AE">
        <w:rPr>
          <w:lang w:val="en-GB"/>
        </w:rPr>
        <w:instrText xml:space="preserve"> ADDIN ZOTERO_ITEM CSL_CITATION {"citationID":"7BVVmlqA","properties":{"formattedCitation":"[3]","plainCitation":"[3]","noteIndex":0},"citationItems":[{"id":"yKhL7Zc1/qytVXSWp","uris":["http://zotero.org/users/local/2u4mFVJQ/items/L2U9HVJ6"],"itemData":{"id":76,"type":"article-journal","container-title":"FME Transaction","DOI":"10.5937/fmet1604358B","ISSN":"1451-2092","issue":"4","journalAbbreviation":"FME Transaction","language":"en","page":"358-364","source":"DOI.org (Crossref)","title":"VOC emissions from wood products and furniture: A survey about legislation, standards and measures referred to different materials","title-short":"VOC emissions from wood products and furniture","volume":"44","author":[{"family":"Bulian","given":"Franco"},{"family":"Fragassa","given":"Cristiano"}],"issued":{"date-parts":[["2016"]]}}}],"schema":"https://github.com/citation-style-language/schema/raw/master/csl-citation.json"} </w:instrText>
      </w:r>
      <w:r w:rsidR="003D5F70">
        <w:rPr>
          <w:lang w:val="en-GB"/>
        </w:rPr>
        <w:fldChar w:fldCharType="separate"/>
      </w:r>
      <w:r w:rsidR="001052AE" w:rsidRPr="001052AE">
        <w:rPr>
          <w:rFonts w:ascii="Cambria" w:hAnsi="Cambria"/>
        </w:rPr>
        <w:t>[3]</w:t>
      </w:r>
      <w:r w:rsidR="003D5F70">
        <w:rPr>
          <w:lang w:val="en-GB"/>
        </w:rPr>
        <w:fldChar w:fldCharType="end"/>
      </w:r>
      <w:r w:rsidR="003D5F70">
        <w:rPr>
          <w:lang w:val="en-GB"/>
        </w:rPr>
        <w:t>. Such certifications, even though not mandatory, can be adopted by producers on a voluntary basis and represent an added value in an increasingly environment- and health-conscious market.</w:t>
      </w:r>
    </w:p>
    <w:p w14:paraId="2C9E165A" w14:textId="4785A37E" w:rsidR="00122F85" w:rsidRDefault="003D5F70">
      <w:pPr>
        <w:spacing w:line="360" w:lineRule="auto"/>
        <w:jc w:val="both"/>
        <w:rPr>
          <w:lang w:val="en-GB"/>
        </w:rPr>
      </w:pPr>
      <w:r>
        <w:rPr>
          <w:lang w:val="en-GB"/>
        </w:rPr>
        <w:t xml:space="preserve">VOCs released from wood belong to several </w:t>
      </w:r>
      <w:r w:rsidR="00BD0539">
        <w:rPr>
          <w:lang w:val="en-GB"/>
        </w:rPr>
        <w:t xml:space="preserve">different </w:t>
      </w:r>
      <w:r>
        <w:rPr>
          <w:lang w:val="en-GB"/>
        </w:rPr>
        <w:t>chemical classes. Terpenes and terpenoids are, in terms of relative abundance, the main constituent of the VOC profiles of wood issued from coniferous tree species, also commonly referred to as ‘softwood’, whereas in wood from deciduous trees (</w:t>
      </w:r>
      <w:r>
        <w:rPr>
          <w:i/>
          <w:lang w:val="en-GB"/>
        </w:rPr>
        <w:t>i.e.</w:t>
      </w:r>
      <w:r>
        <w:rPr>
          <w:lang w:val="en-GB"/>
        </w:rPr>
        <w:t xml:space="preserve"> hardwood), terpenes are less abundant or non-detectable </w:t>
      </w:r>
      <w:r>
        <w:rPr>
          <w:lang w:val="en-GB"/>
        </w:rPr>
        <w:fldChar w:fldCharType="begin"/>
      </w:r>
      <w:r w:rsidR="001052AE">
        <w:rPr>
          <w:lang w:val="en-GB"/>
        </w:rPr>
        <w:instrText xml:space="preserve"> ADDIN ZOTERO_ITEM CSL_CITATION {"citationID":"Ib1pQCeQ","properties":{"formattedCitation":"[4,5]","plainCitation":"[4,5]","noteIndex":0},"citationItems":[{"id":"yKhL7Zc1/Jp0PUcMU","uris":["http://zotero.org/users/local/2u4mFVJQ/items/2B3P4AA3"],"itemData":{"id":79,"type":"article-journal","container-title":"Archives of Environmental Health: An International Journal","DOI":"10.1080/00039890109604477","ISSN":"0003-9896","issue":"5","journalAbbreviation":"Archives of Environmental Health: An International Journal","language":"en","page":"419-432","source":"DOI.org (Crossref)","title":"Health Evaluation of Volatile Organic Compound (VOC) Emissions from Wood and Wood-Based Materials","volume":"56","author":[{"family":"Jensen","given":"Lilli Kirkeskov"},{"family":"Larsen","given":"Annelise"},{"family":"M⊘lhave","given":"Lars"},{"family":"Hansen","given":"Mogens Kragh"},{"family":"Knudsen","given":"Bodil"}],"issued":{"date-parts":[["2001",9]]}}},{"id":892,"uris":["http://zotero.org/users/local/FaDQTzcp/items/VY2EZZ6Q"],"itemData":{"id":892,"type":"article-journal","container-title":"Holz als Roh- und Werkstoff","DOI":"10.1007/s001070050282","ISSN":"0018-3768, 1436-736X","issue":"2","journalAbbreviation":"Holz als Roh-und Werkstoff","language":"en","page":"125-129","source":"DOI.org (Crossref)","title":"Emissions of acetic acid and other volatile organic compounds from different species of solid wood","volume":"56","author":[{"family":"Risholm-Sundman","given":"M."},{"family":"Lundgren","given":"M."},{"family":"Vestin","given":"E."},{"family":"Herder","given":"P."}],"issued":{"date-parts":[["1998",3]]}}}],"schema":"https://github.com/citation-style-language/schema/raw/master/csl-citation.json"} </w:instrText>
      </w:r>
      <w:r>
        <w:rPr>
          <w:lang w:val="en-GB"/>
        </w:rPr>
        <w:fldChar w:fldCharType="separate"/>
      </w:r>
      <w:r w:rsidR="001052AE" w:rsidRPr="001052AE">
        <w:rPr>
          <w:rFonts w:ascii="Cambria" w:hAnsi="Cambria"/>
        </w:rPr>
        <w:t>[4,5]</w:t>
      </w:r>
      <w:r>
        <w:rPr>
          <w:lang w:val="en-GB"/>
        </w:rPr>
        <w:fldChar w:fldCharType="end"/>
      </w:r>
      <w:r>
        <w:rPr>
          <w:lang w:val="en-GB"/>
        </w:rPr>
        <w:t xml:space="preserve">. Aldehydes and ketones, carboxylic acids and esters, furans, phenols and aromatic and aliphatic hydrocarbons are other well-represented VOC classes in both hardwood and softwood </w:t>
      </w:r>
      <w:r>
        <w:rPr>
          <w:lang w:val="en-GB"/>
        </w:rPr>
        <w:fldChar w:fldCharType="begin"/>
      </w:r>
      <w:r w:rsidR="001052AE">
        <w:rPr>
          <w:lang w:val="en-GB"/>
        </w:rPr>
        <w:instrText xml:space="preserve"> ADDIN ZOTERO_ITEM CSL_CITATION {"citationID":"VM8Hxwuv","properties":{"formattedCitation":"[1,6]","plainCitation":"[1,6]","noteIndex":0},"citationItems":[{"id":3549,"uris":["http://zotero.org/users/local/FaDQTzcp/items/U2ALSGGV"],"itemData":{"id":3549,"type":"article-journal","abstract":"Volatile organic compounds (VOCs) are contained in various construction materials and interior equipment. Their higher concentrations in the indoor air are associated with negative effects on human health and are disputed in terms of health risk, since people spend a considerable part of their lifetime indoors. Therefore, the presence of VOCs in indoor air is a case of concern regarding sick building syndrome (SBS). From a historical point of view, wood and wood-based panels represent a widely used material. Nevertheless, wood appears to be nowadays a product and a material of a sustainable future. Depending on wood extractives’ composition and an abundance of diverse wood species, different profiles of volatiles are emitted. In case of wood-based panels, the impact of adhesives and additives that are essentially applied aiming to adjust the panels’ properties is even enriching this cocktail of chemicals. This paper comprises the issue of VOCs emitted from wood and wood-based panels. The most abundant VOCs were summarized. The options of VOCs for analytical determination from these matrixes are described with their benefits and limitations.","container-title":"Polymers","DOI":"10.3390/polym12102289","ISSN":"2073-4360","issue":"10","journalAbbreviation":"Polymers","language":"en","page":"2289","source":"DOI.org (Crossref)","title":"Volatile Organic Compounds (VOCs) from Wood and Wood-Based Panels: Methods for Evaluation, Potential Health Risks, and Mitigation","title-short":"Volatile Organic Compounds (VOCs) from Wood and Wood-Based Panels","volume":"12","author":[{"family":"Adamová","given":"Tereza"},{"family":"Hradecký","given":"Jaromír"},{"family":"Pánek","given":"Miloš"}],"issued":{"date-parts":[["2020",10,6]]}}},{"id":"yKhL7Zc1/mVQn9IPi","uris":["http://zotero.org/users/local/2u4mFVJQ/items/B5GV8GEA"],"itemData":{"id":8,"type":"article-journal","container-title":"Wood and Fiber Science","DOI":"10.22382/wfs-2019-023","ISSN":"07356161, 07356161","issue":"3","journalAbbreviation":"WFS","page":"231-254","source":"DOI.org (Crossref)","title":"VOLATILE ORGANIC COMPOUNDS EMITTED FROM UNTREATED AND THERMALLY MODIFIED WOOD - A REVIEW","volume":"51","author":[{"family":"Pohleven","given":"Jure"},{"family":"Burnard","given":"Michael"},{"family":"Kutnar","given":"Andreja"}],"issued":{"date-parts":[["2019",7,31]]}}}],"schema":"https://github.com/citation-style-language/schema/raw/master/csl-citation.json"} </w:instrText>
      </w:r>
      <w:r>
        <w:rPr>
          <w:lang w:val="en-GB"/>
        </w:rPr>
        <w:fldChar w:fldCharType="separate"/>
      </w:r>
      <w:r w:rsidR="001052AE" w:rsidRPr="001052AE">
        <w:rPr>
          <w:rFonts w:ascii="Cambria" w:hAnsi="Cambria"/>
        </w:rPr>
        <w:t>[1,6]</w:t>
      </w:r>
      <w:r>
        <w:rPr>
          <w:lang w:val="en-GB"/>
        </w:rPr>
        <w:fldChar w:fldCharType="end"/>
      </w:r>
      <w:r>
        <w:rPr>
          <w:lang w:val="en-GB"/>
        </w:rPr>
        <w:t>.</w:t>
      </w:r>
    </w:p>
    <w:p w14:paraId="47CC4579" w14:textId="77777777" w:rsidR="00122F85" w:rsidRDefault="003D5F70">
      <w:pPr>
        <w:spacing w:line="360" w:lineRule="auto"/>
        <w:jc w:val="both"/>
        <w:rPr>
          <w:lang w:val="en-GB"/>
        </w:rPr>
      </w:pPr>
      <w:r>
        <w:rPr>
          <w:lang w:val="en-GB"/>
        </w:rPr>
        <w:t>Thermal modification of wood is carried out with the aim to modify some of its properties</w:t>
      </w:r>
      <w:r w:rsidR="00A9751D">
        <w:rPr>
          <w:lang w:val="en-GB"/>
        </w:rPr>
        <w:t>.</w:t>
      </w:r>
      <w:r>
        <w:rPr>
          <w:lang w:val="en-GB"/>
        </w:rPr>
        <w:t xml:space="preserve"> Thermally modified wood is properly defined by the CEN / TS 15679: 2007 standard (Thermal Modified Timber - Definitions and characteristics) as "wood in which the composition and physical properties of the cell wall are modified permanently and throughout the thickness of the sawn timber by mean of exposure to temperatures above 160° C in conditions of reduced oxygen availability ".</w:t>
      </w:r>
    </w:p>
    <w:p w14:paraId="02921771" w14:textId="34A6C258" w:rsidR="00122F85" w:rsidRDefault="003D5F70">
      <w:pPr>
        <w:spacing w:line="360" w:lineRule="auto"/>
        <w:jc w:val="both"/>
        <w:rPr>
          <w:lang w:val="en-GB"/>
        </w:rPr>
      </w:pPr>
      <w:r>
        <w:rPr>
          <w:lang w:val="en-GB"/>
        </w:rPr>
        <w:t xml:space="preserve">The properties of thermally modified wood (TMW) and the extent of the </w:t>
      </w:r>
      <w:r w:rsidR="001203F5">
        <w:rPr>
          <w:lang w:val="en-GB"/>
        </w:rPr>
        <w:t>modification</w:t>
      </w:r>
      <w:r>
        <w:rPr>
          <w:lang w:val="en-GB"/>
        </w:rPr>
        <w:t xml:space="preserve"> depend on the wood species, the type of technology and the process parameters, especially on the maximum treatment temperature. </w:t>
      </w:r>
      <w:r w:rsidR="008A11F2">
        <w:rPr>
          <w:lang w:val="en-GB"/>
        </w:rPr>
        <w:t>Mass loss</w:t>
      </w:r>
      <w:r>
        <w:rPr>
          <w:lang w:val="en-GB"/>
        </w:rPr>
        <w:t xml:space="preserve"> (ML) of </w:t>
      </w:r>
      <w:r>
        <w:rPr>
          <w:lang w:val="en-GB"/>
        </w:rPr>
        <w:lastRenderedPageBreak/>
        <w:t xml:space="preserve">the lumber </w:t>
      </w:r>
      <w:r w:rsidR="008A11F2">
        <w:rPr>
          <w:lang w:val="en-GB"/>
        </w:rPr>
        <w:t>because of</w:t>
      </w:r>
      <w:r>
        <w:rPr>
          <w:lang w:val="en-GB"/>
        </w:rPr>
        <w:t xml:space="preserve"> heat treatment is the main indicator of the intensity of modification. Technologies for the production of TMW are mainly characterized by the way in which the concentration of oxygen is reduced during the treatment. The systems currently used on an industrial scale include superheated steam, nitrogen, vacuum, oil bath and are patented with different names</w:t>
      </w:r>
      <w:r w:rsidR="00C9273B">
        <w:rPr>
          <w:lang w:val="en-GB"/>
        </w:rPr>
        <w:t xml:space="preserve"> </w:t>
      </w:r>
      <w:r w:rsidR="0022251E">
        <w:rPr>
          <w:lang w:val="en-GB"/>
        </w:rPr>
        <w:fldChar w:fldCharType="begin"/>
      </w:r>
      <w:r w:rsidR="001052AE">
        <w:rPr>
          <w:lang w:val="en-GB"/>
        </w:rPr>
        <w:instrText xml:space="preserve"> ADDIN ZOTERO_ITEM CSL_CITATION {"citationID":"JICbU5Mo","properties":{"formattedCitation":"[7]","plainCitation":"[7]","noteIndex":0},"citationItems":[{"id":915,"uris":["http://zotero.org/users/local/FaDQTzcp/items/JBL2MN9R"],"itemData":{"id":915,"type":"book","call-number":"TA424 .H55 2006","collection-title":"Wiley series in renewable resources","event-place":"Chichester, England ; Hoboken, NJ","ISBN":"978-0-470-02172-9","note":"OCLC: ocm61169770","number-of-pages":"239","publisher":"John Wiley &amp; Sons","publisher-place":"Chichester, England ; Hoboken, NJ","source":"Library of Congress ISBN","title":"Wood modification: chemical, thermal and other processes","title-short":"Wood modification","author":[{"family":"Hill","given":"Callum A. S."}],"issued":{"date-parts":[["2006"]]}}}],"schema":"https://github.com/citation-style-language/schema/raw/master/csl-citation.json"} </w:instrText>
      </w:r>
      <w:r w:rsidR="0022251E">
        <w:rPr>
          <w:lang w:val="en-GB"/>
        </w:rPr>
        <w:fldChar w:fldCharType="separate"/>
      </w:r>
      <w:r w:rsidR="001052AE" w:rsidRPr="001052AE">
        <w:rPr>
          <w:rFonts w:ascii="Cambria" w:hAnsi="Cambria"/>
        </w:rPr>
        <w:t>[7]</w:t>
      </w:r>
      <w:r w:rsidR="0022251E">
        <w:rPr>
          <w:lang w:val="en-GB"/>
        </w:rPr>
        <w:fldChar w:fldCharType="end"/>
      </w:r>
      <w:r>
        <w:rPr>
          <w:lang w:val="en-GB"/>
        </w:rPr>
        <w:t>.</w:t>
      </w:r>
    </w:p>
    <w:p w14:paraId="6135F185" w14:textId="30FACA03" w:rsidR="00122F85" w:rsidRDefault="003D5F70">
      <w:pPr>
        <w:spacing w:line="360" w:lineRule="auto"/>
        <w:jc w:val="both"/>
        <w:rPr>
          <w:lang w:val="en-GB"/>
        </w:rPr>
      </w:pPr>
      <w:r>
        <w:rPr>
          <w:lang w:val="en-GB"/>
        </w:rPr>
        <w:t>TMW is a greener alternative to chemically treated wood. Compared to the unmodified material, TMW has improved characteristics in terms of dimensional stability, water sorption and resistance to microbial attack. TMW also has a darker colour throughout the thickness, which is appreciated by architects and designers and allow</w:t>
      </w:r>
      <w:r w:rsidR="00CC7F8E">
        <w:rPr>
          <w:lang w:val="en-GB"/>
        </w:rPr>
        <w:t>s</w:t>
      </w:r>
      <w:r>
        <w:rPr>
          <w:lang w:val="en-GB"/>
        </w:rPr>
        <w:t xml:space="preserve"> to substitute </w:t>
      </w:r>
      <w:r w:rsidR="005374F9">
        <w:rPr>
          <w:lang w:val="en-GB"/>
        </w:rPr>
        <w:t xml:space="preserve">expensive </w:t>
      </w:r>
      <w:r>
        <w:rPr>
          <w:lang w:val="en-GB"/>
        </w:rPr>
        <w:t>tropical timber with local wood species.</w:t>
      </w:r>
      <w:r w:rsidR="00EC7069">
        <w:rPr>
          <w:lang w:val="en-GB"/>
        </w:rPr>
        <w:t xml:space="preserve"> </w:t>
      </w:r>
      <w:r>
        <w:rPr>
          <w:lang w:val="en-GB"/>
        </w:rPr>
        <w:t xml:space="preserve">TMW </w:t>
      </w:r>
      <w:r w:rsidR="00EC7069">
        <w:rPr>
          <w:lang w:val="en-GB"/>
        </w:rPr>
        <w:t>is</w:t>
      </w:r>
      <w:r>
        <w:rPr>
          <w:lang w:val="en-GB"/>
        </w:rPr>
        <w:t xml:space="preserve"> particularly amenable to non-structural end-uses such as indoor decking and cladding; however, the impact of thermal treatment on wood VOC emission must also be carefully taken into consideration. Literature data are mostly in agreement in showing that upon thermal treatment terpene and terpenoids decrease whereas the emission of most of the other VOC classes is promoted. This was observed for Scots pine </w:t>
      </w:r>
      <w:r>
        <w:rPr>
          <w:lang w:val="en-GB"/>
        </w:rPr>
        <w:fldChar w:fldCharType="begin"/>
      </w:r>
      <w:r w:rsidR="001052AE">
        <w:rPr>
          <w:lang w:val="en-GB"/>
        </w:rPr>
        <w:instrText xml:space="preserve"> ADDIN ZOTERO_ITEM CSL_CITATION {"citationID":"oPBez0WB","properties":{"formattedCitation":"[8,9]","plainCitation":"[8,9]","noteIndex":0},"citationItems":[{"id":891,"uris":["http://zotero.org/users/local/FaDQTzcp/items/LBZ9HZSX"],"itemData":{"id":891,"type":"article-journal","container-title":"Atmospheric Environment","DOI":"10.1016/S1352-2310(02)00152-8","ISSN":"13522310","issue":"11","journalAbbreviation":"Atmospheric Environment","language":"en","page":"1763-1768","source":"DOI.org (Crossref)","title":"Comparing the VOC emissions between air-dried and heat-treated Scots pine wood","volume":"36","author":[{"family":"Manninen","given":"Anne-Marja"},{"family":"Pasanen","given":"Pertti"},{"family":"Holopainen","given":"Jarmo K."}],"issued":{"date-parts":[["2002",4]]}}},{"id":"yKhL7Zc1/eOpazyNX","uris":["http://zotero.org/users/local/2u4mFVJQ/items/YYUQ38EE"],"itemData":{"id":81,"type":"article-journal","container-title":"Journal of Building Engineering","DOI":"10.1016/j.jobe.2019.100918","ISSN":"23527102","journalAbbreviation":"Journal of Building Engineering","language":"en","page":"100918","source":"DOI.org (Crossref)","title":"Color change and emission of volatile organic compounds from Scots pine exposed to heat and vacuum-heat treatment","volume":"26","author":[{"family":"Sivrikaya","given":"Hüseyin"},{"family":"Tesařová","given":"Daniela"},{"family":"Jeřábková","given":"Eva"},{"family":"Can","given":"Ahmet"}],"issued":{"date-parts":[["2019",11]]}}}],"schema":"https://github.com/citation-style-language/schema/raw/master/csl-citation.json"} </w:instrText>
      </w:r>
      <w:r>
        <w:rPr>
          <w:lang w:val="en-GB"/>
        </w:rPr>
        <w:fldChar w:fldCharType="separate"/>
      </w:r>
      <w:r w:rsidR="001052AE" w:rsidRPr="001052AE">
        <w:rPr>
          <w:rFonts w:ascii="Cambria" w:hAnsi="Cambria"/>
        </w:rPr>
        <w:t>[8,9]</w:t>
      </w:r>
      <w:r>
        <w:rPr>
          <w:lang w:val="en-GB"/>
        </w:rPr>
        <w:fldChar w:fldCharType="end"/>
      </w:r>
      <w:r>
        <w:rPr>
          <w:lang w:val="en-GB"/>
        </w:rPr>
        <w:t xml:space="preserve">, southern yellow pine </w:t>
      </w:r>
      <w:r>
        <w:rPr>
          <w:lang w:val="en-GB"/>
        </w:rPr>
        <w:fldChar w:fldCharType="begin"/>
      </w:r>
      <w:r w:rsidR="001052AE">
        <w:rPr>
          <w:lang w:val="en-GB"/>
        </w:rPr>
        <w:instrText xml:space="preserve"> ADDIN ZOTERO_ITEM CSL_CITATION {"citationID":"a88ejdQQ","properties":{"formattedCitation":"[10]","plainCitation":"[10]","noteIndex":0},"citationItems":[{"id":"yKhL7Zc1/JuY5soML","uris":["http://zotero.org/users/local/2u4mFVJQ/items/TWC4MJWI"],"itemData":{"id":82,"type":"article-journal","abstract":"As the main material in indoor furniture, southern yellow pine (Pinus spp.) releases volatile organic compounds (VOCs) into the environment during use. To better understand variations in the contents of VOCs in southern yellow pine before and after heat treatment, this study conducts dry heat treatment on southern yellow pine at 140 °C and 220 °C. Headspace solid phase micro-extraction was used to extract VOCs from southern yellow pine. The VOCs of southern yellow pine before and after heat treatment were identified via gas chromatography-mass spectrometry, and chemical component differences were characterized via Fourier transform infrared spectroscopy. Results reveal 86 VOCs in pure southern yellow pine, including alcohols, aromatics, acids, aldehydes, alkanes, alkenes, and some trace compounds (e.g., furans, ketones, phenols, and esters). With an increase in heat-treatment temperature, the contents of alkanes increased, whereas those of alcohols and alkenes decreased. The contents of aromatics, acids, and aldehydes were highest when heat treated at 140 °C. At 220 °C, the total contents of key VOCs in southern yellow pine were lowest.","container-title":"International Journal of Environmental Research and Public Health","DOI":"10.3390/ijerph15112579","ISSN":"1660-4601","issue":"11","journalAbbreviation":"IJERPH","language":"en","page":"2579","source":"DOI.org (Crossref)","title":"Released Volatile Organic Compounds in Southern Yellow Pine before and after Heat Treatment","volume":"15","author":[{"family":"Wang","given":"Chen"},{"family":"Wang","given":"Zhiping"},{"family":"Qin","given":"Ye"},{"family":"Yin","given":"Xiaoqian"},{"family":"Huang","given":"Anmin"}],"issued":{"date-parts":[["2018",11,18]]}}}],"schema":"https://github.com/citation-style-language/schema/raw/master/csl-citation.json"} </w:instrText>
      </w:r>
      <w:r>
        <w:rPr>
          <w:lang w:val="en-GB"/>
        </w:rPr>
        <w:fldChar w:fldCharType="separate"/>
      </w:r>
      <w:r w:rsidR="001052AE" w:rsidRPr="001052AE">
        <w:rPr>
          <w:rFonts w:ascii="Cambria" w:hAnsi="Cambria"/>
        </w:rPr>
        <w:t>[10]</w:t>
      </w:r>
      <w:r>
        <w:rPr>
          <w:lang w:val="en-GB"/>
        </w:rPr>
        <w:fldChar w:fldCharType="end"/>
      </w:r>
      <w:r>
        <w:rPr>
          <w:lang w:val="en-GB"/>
        </w:rPr>
        <w:t xml:space="preserve"> and Norway spruce and poplar </w:t>
      </w:r>
      <w:r>
        <w:rPr>
          <w:lang w:val="en-GB"/>
        </w:rPr>
        <w:fldChar w:fldCharType="begin"/>
      </w:r>
      <w:r w:rsidR="001052AE">
        <w:rPr>
          <w:lang w:val="en-GB"/>
        </w:rPr>
        <w:instrText xml:space="preserve"> ADDIN ZOTERO_ITEM CSL_CITATION {"citationID":"jwIdtI3q","properties":{"formattedCitation":"[11]","plainCitation":"[11]","noteIndex":0},"citationItems":[{"id":"yKhL7Zc1/Gv9amnd8","uris":["http://zotero.org/users/local/2u4mFVJQ/items/PLS3WWQQ"],"itemData":{"id":84,"type":"article-journal","container-title":"Drvna industrija","DOI":"10.5552/drind.2018.1708","ISSN":"00126772, 18471153","issue":"4","journalAbbreviation":"Drvna ind.","page":"297-309","source":"DOI.org (Crossref)","title":"Comparison of VOC Emissions from Natural Wood and Heat Treated Wood","volume":"69","author":[{"family":"Čech","given":"Petr"}],"issued":{"date-parts":[["2018"]]}}}],"schema":"https://github.com/citation-style-language/schema/raw/master/csl-citation.json"} </w:instrText>
      </w:r>
      <w:r>
        <w:rPr>
          <w:lang w:val="en-GB"/>
        </w:rPr>
        <w:fldChar w:fldCharType="separate"/>
      </w:r>
      <w:r w:rsidR="001052AE" w:rsidRPr="001052AE">
        <w:rPr>
          <w:rFonts w:ascii="Cambria" w:hAnsi="Cambria"/>
        </w:rPr>
        <w:t>[11]</w:t>
      </w:r>
      <w:r>
        <w:rPr>
          <w:lang w:val="en-GB"/>
        </w:rPr>
        <w:fldChar w:fldCharType="end"/>
      </w:r>
      <w:r>
        <w:rPr>
          <w:lang w:val="en-GB"/>
        </w:rPr>
        <w:t>. A different result was reported by</w:t>
      </w:r>
      <w:r w:rsidR="009B6189">
        <w:rPr>
          <w:lang w:val="en-GB"/>
        </w:rPr>
        <w:t xml:space="preserve"> Hyttinen </w:t>
      </w:r>
      <w:r w:rsidR="00CF467C">
        <w:rPr>
          <w:lang w:val="en-GB"/>
        </w:rPr>
        <w:t xml:space="preserve">and colleagues </w:t>
      </w:r>
      <w:r w:rsidR="00CF467C">
        <w:rPr>
          <w:lang w:val="en-GB"/>
        </w:rPr>
        <w:fldChar w:fldCharType="begin"/>
      </w:r>
      <w:r w:rsidR="00CF467C">
        <w:rPr>
          <w:lang w:val="en-GB"/>
        </w:rPr>
        <w:instrText xml:space="preserve"> ADDIN ZOTERO_ITEM CSL_CITATION {"citationID":"1zJYvBnV","properties":{"formattedCitation":"[12]","plainCitation":"[12]","noteIndex":0},"citationItems":[{"id":888,"uris":["http://zotero.org/users/local/FaDQTzcp/items/KJDB5DNI"],"itemData":{"id":888,"type":"article-journal","container-title":"Atmospheric Environment","DOI":"10.1016/j.atmosenv.2010.07.018","ISSN":"13522310","issue":"38","journalAbbreviation":"Atmospheric Environment","language":"en","page":"5028-5033","source":"DOI.org (Crossref)","title":"Comparison of VOC emissions between air-dried and heat-treated Norway spruce (Picea abies), Scots pine (Pinus sylvesteris) and European aspen (Populus tremula) wood","volume":"44","author":[{"family":"Hyttinen","given":"Marko"},{"family":"Masalin-Weijo","given":"Marika"},{"family":"Kalliokoski","given":"Pentti"},{"family":"Pasanen","given":"Pertti"}],"issued":{"date-parts":[["2010",12]]}}}],"schema":"https://github.com/citation-style-language/schema/raw/master/csl-citation.json"} </w:instrText>
      </w:r>
      <w:r w:rsidR="00CF467C">
        <w:rPr>
          <w:lang w:val="en-GB"/>
        </w:rPr>
        <w:fldChar w:fldCharType="separate"/>
      </w:r>
      <w:r w:rsidR="00CF467C" w:rsidRPr="00CF467C">
        <w:rPr>
          <w:rFonts w:ascii="Cambria" w:hAnsi="Cambria"/>
        </w:rPr>
        <w:t>[12]</w:t>
      </w:r>
      <w:r w:rsidR="00CF467C">
        <w:rPr>
          <w:lang w:val="en-GB"/>
        </w:rPr>
        <w:fldChar w:fldCharType="end"/>
      </w:r>
      <w:r>
        <w:rPr>
          <w:lang w:val="en-GB"/>
        </w:rPr>
        <w:t xml:space="preserve">, who found that heat treatment increased furfural but reduced hexanal emission in Norway spruce, Scots pine and European aspen. </w:t>
      </w:r>
    </w:p>
    <w:p w14:paraId="6D7F6F61" w14:textId="4429A612" w:rsidR="00122F85" w:rsidRDefault="003D5F70">
      <w:pPr>
        <w:spacing w:line="360" w:lineRule="auto"/>
        <w:jc w:val="both"/>
        <w:rPr>
          <w:lang w:val="en-GB"/>
        </w:rPr>
      </w:pPr>
      <w:r>
        <w:rPr>
          <w:lang w:val="en-GB"/>
        </w:rPr>
        <w:t xml:space="preserve">Several official methods define methodologies for the measurements of VOCs emitted by construction and furniture materials. These entail the use of test chambers </w:t>
      </w:r>
      <w:r>
        <w:rPr>
          <w:lang w:val="en-GB"/>
        </w:rPr>
        <w:fldChar w:fldCharType="begin"/>
      </w:r>
      <w:r w:rsidR="001052AE">
        <w:rPr>
          <w:lang w:val="en-GB"/>
        </w:rPr>
        <w:instrText xml:space="preserve"> ADDIN ZOTERO_ITEM CSL_CITATION {"citationID":"2KeY9WL4","properties":{"formattedCitation":"[13]","plainCitation":"[13]","noteIndex":0},"citationItems":[{"id":911,"uris":["http://zotero.org/users/local/FaDQTzcp/items/IDP8FHLA"],"itemData":{"id":911,"type":"book","event-place":"Geneva, Switzerland","publisher":"International Organization for Standardization (ISO)","publisher-place":"Geneva, Switzerland","title":"ISO 16000 Part 9 - Determination of the emission of volatile organic compounds from building products and furnishing  —  Emission test chamber method","issued":{"date-parts":[["2006"]]}}}],"schema":"https://github.com/citation-style-language/schema/raw/master/csl-citation.json"} </w:instrText>
      </w:r>
      <w:r>
        <w:rPr>
          <w:lang w:val="en-GB"/>
        </w:rPr>
        <w:fldChar w:fldCharType="separate"/>
      </w:r>
      <w:r w:rsidR="001052AE" w:rsidRPr="001052AE">
        <w:rPr>
          <w:rFonts w:ascii="Cambria" w:hAnsi="Cambria"/>
        </w:rPr>
        <w:t>[13]</w:t>
      </w:r>
      <w:r>
        <w:rPr>
          <w:lang w:val="en-GB"/>
        </w:rPr>
        <w:fldChar w:fldCharType="end"/>
      </w:r>
      <w:r>
        <w:rPr>
          <w:lang w:val="en-GB"/>
        </w:rPr>
        <w:t xml:space="preserve"> or test cells </w:t>
      </w:r>
      <w:r>
        <w:rPr>
          <w:lang w:val="en-GB"/>
        </w:rPr>
        <w:fldChar w:fldCharType="begin"/>
      </w:r>
      <w:r w:rsidR="001052AE">
        <w:rPr>
          <w:lang w:val="en-GB"/>
        </w:rPr>
        <w:instrText xml:space="preserve"> ADDIN ZOTERO_ITEM CSL_CITATION {"citationID":"pAoBlsmK","properties":{"formattedCitation":"[14]","plainCitation":"[14]","noteIndex":0},"citationItems":[{"id":914,"uris":["http://zotero.org/users/local/FaDQTzcp/items/U8Y5ATLR"],"itemData":{"id":914,"type":"book","event-place":"Geneva, Switzerland","publisher":"International Organization for Standardization (ISO)","publisher-place":"Geneva, Switzerland","title":"ISO 16000 Part 10 - Determination of the emission of volatile organic compounds from building products and furnishing — Emission test cell method","issued":{"date-parts":[["2006"]]}}}],"schema":"https://github.com/citation-style-language/schema/raw/master/csl-citation.json"} </w:instrText>
      </w:r>
      <w:r>
        <w:rPr>
          <w:lang w:val="en-GB"/>
        </w:rPr>
        <w:fldChar w:fldCharType="separate"/>
      </w:r>
      <w:r w:rsidR="001052AE" w:rsidRPr="001052AE">
        <w:rPr>
          <w:rFonts w:ascii="Cambria" w:hAnsi="Cambria"/>
        </w:rPr>
        <w:t>[14]</w:t>
      </w:r>
      <w:r>
        <w:rPr>
          <w:lang w:val="en-GB"/>
        </w:rPr>
        <w:fldChar w:fldCharType="end"/>
      </w:r>
      <w:r>
        <w:rPr>
          <w:lang w:val="en-GB"/>
        </w:rPr>
        <w:t xml:space="preserve">. </w:t>
      </w:r>
      <w:r>
        <w:t>Air and volatiles are swept into a thermal desorption (TD) tube, which is analysed by TD coupled to gas chromatography-mass spectrometry (GC-MS).</w:t>
      </w:r>
      <w:r>
        <w:rPr>
          <w:lang w:val="en-GB"/>
        </w:rPr>
        <w:t xml:space="preserve"> The size of the chambers (typically 1-30 m</w:t>
      </w:r>
      <w:r>
        <w:rPr>
          <w:vertAlign w:val="superscript"/>
          <w:lang w:val="en-GB"/>
        </w:rPr>
        <w:t>3</w:t>
      </w:r>
      <w:r>
        <w:rPr>
          <w:lang w:val="en-GB"/>
        </w:rPr>
        <w:t xml:space="preserve">) and the need to sample manually limit the analytical throughput of this approach. Even though sampling using TD tubes is the most widespread technique for the study of wood emission, other sample prep protocols have been adopted in association with GC-MS, such as solid-liquid extraction </w:t>
      </w:r>
      <w:r>
        <w:rPr>
          <w:lang w:val="en-GB"/>
        </w:rPr>
        <w:fldChar w:fldCharType="begin"/>
      </w:r>
      <w:r w:rsidR="001052AE">
        <w:rPr>
          <w:lang w:val="en-GB"/>
        </w:rPr>
        <w:instrText xml:space="preserve"> ADDIN ZOTERO_ITEM CSL_CITATION {"citationID":"262mXzaX","properties":{"formattedCitation":"[15]","plainCitation":"[15]","noteIndex":0},"citationItems":[{"id":"yKhL7Zc1/aQjVwrET","uris":["http://zotero.org/users/local/2u4mFVJQ/items/IUIM6J7J"],"itemData":{"id":1,"type":"article-journal","container-title":"LWT - Food Science and Technology","DOI":"10.1016/j.lwt.2013.02.010","ISSN":"00236438","issue":"1","journalAbbreviation":"LWT - Food Science and Technology","language":"en","page":"240-248","source":"DOI.org (Crossref)","title":"Characterization by gas chromatography–olfactometry of the most odor-active compounds in extracts prepared from acacia, chestnut, cherry, ash and oak woods","volume":"53","author":[{"family":"Culleré","given":"Laura"},{"family":"Fernández de Simón","given":"Brígida"},{"family":"Cadahía","given":"Estrella"},{"family":"Ferreira","given":"Vicente"},{"family":"Hernández-Orte","given":"Purificación"},{"family":"Cacho","given":"Juan"}],"issued":{"date-parts":[["2013",9]]}}}],"schema":"https://github.com/citation-style-language/schema/raw/master/csl-citation.json"} </w:instrText>
      </w:r>
      <w:r>
        <w:rPr>
          <w:lang w:val="en-GB"/>
        </w:rPr>
        <w:fldChar w:fldCharType="separate"/>
      </w:r>
      <w:r w:rsidR="001052AE" w:rsidRPr="001052AE">
        <w:rPr>
          <w:rFonts w:ascii="Cambria" w:hAnsi="Cambria"/>
        </w:rPr>
        <w:t>[15]</w:t>
      </w:r>
      <w:r>
        <w:rPr>
          <w:lang w:val="en-GB"/>
        </w:rPr>
        <w:fldChar w:fldCharType="end"/>
      </w:r>
      <w:r>
        <w:rPr>
          <w:lang w:val="en-GB"/>
        </w:rPr>
        <w:t xml:space="preserve">, static and dynamic headspace </w:t>
      </w:r>
      <w:r>
        <w:rPr>
          <w:lang w:val="en-GB"/>
        </w:rPr>
        <w:fldChar w:fldCharType="begin"/>
      </w:r>
      <w:r w:rsidR="001052AE">
        <w:rPr>
          <w:lang w:val="en-GB"/>
        </w:rPr>
        <w:instrText xml:space="preserve"> ADDIN ZOTERO_ITEM CSL_CITATION {"citationID":"ZMLOc3Io","properties":{"formattedCitation":"[5,16]","plainCitation":"[5,16]","noteIndex":0},"citationItems":[{"id":892,"uris":["http://zotero.org/users/local/FaDQTzcp/items/VY2EZZ6Q"],"itemData":{"id":892,"type":"article-journal","container-title":"Holz als Roh- und Werkstoff","DOI":"10.1007/s001070050282","ISSN":"0018-3768, 1436-736X","issue":"2","journalAbbreviation":"Holz als Roh-und Werkstoff","language":"en","page":"125-129","source":"DOI.org (Crossref)","title":"Emissions of acetic acid and other volatile organic compounds from different species of solid wood","volume":"56","author":[{"family":"Risholm-Sundman","given":"M."},{"family":"Lundgren","given":"M."},{"family":"Vestin","given":"E."},{"family":"Herder","given":"P."}],"issued":{"date-parts":[["1998",3]]}}},{"id":897,"uris":["http://zotero.org/users/local/FaDQTzcp/items/SKPFSNAX"],"itemData":{"id":897,"type":"article-journal","container-title":"BioResources","issue":"2","page":"3550-3560","title":"Analysis of gas chromatography-mass spectrometry coupled with dynamic headspace sampling on volatile organic compounds of heat-treated poplar at high temperatures","volume":"11","author":[{"family":"Xue","given":"Lei"},{"family":"Zhao","given":"Zijian"},{"family":"Zhang","given":"Yu"},{"family":"Chu","given":"Demiao"},{"family":"Mu","given":"Jun"}],"issued":{"date-parts":[["2016"]]}}}],"schema":"https://github.com/citation-style-language/schema/raw/master/csl-citation.json"} </w:instrText>
      </w:r>
      <w:r>
        <w:rPr>
          <w:lang w:val="en-GB"/>
        </w:rPr>
        <w:fldChar w:fldCharType="separate"/>
      </w:r>
      <w:r w:rsidR="001052AE" w:rsidRPr="001052AE">
        <w:rPr>
          <w:rFonts w:ascii="Cambria" w:hAnsi="Cambria"/>
        </w:rPr>
        <w:t>[5,16]</w:t>
      </w:r>
      <w:r>
        <w:rPr>
          <w:lang w:val="en-GB"/>
        </w:rPr>
        <w:fldChar w:fldCharType="end"/>
      </w:r>
      <w:r>
        <w:rPr>
          <w:lang w:val="en-GB"/>
        </w:rPr>
        <w:t xml:space="preserve">, solid-phase micro extraction </w:t>
      </w:r>
      <w:r>
        <w:rPr>
          <w:lang w:val="en-GB"/>
        </w:rPr>
        <w:fldChar w:fldCharType="begin"/>
      </w:r>
      <w:r w:rsidR="001052AE">
        <w:rPr>
          <w:lang w:val="en-GB"/>
        </w:rPr>
        <w:instrText xml:space="preserve"> ADDIN ZOTERO_ITEM CSL_CITATION {"citationID":"GbLc5xiQ","properties":{"formattedCitation":"[17]","plainCitation":"[17]","noteIndex":0},"citationItems":[{"id":"yKhL7Zc1/oqFarftn","uris":["http://zotero.org/users/local/2u4mFVJQ/items/3945VQ3A"],"itemData":{"id":5,"type":"article-journal","container-title":"Journal of Agricultural and Food Chemistry","DOI":"10.1021/jf049032m","ISSN":"0021-8561, 1520-5118","issue":"23","journalAbbreviation":"J. Agric. Food Chem.","language":"en","page":"6857-6861","source":"DOI.org (Crossref)","title":"Fast Screening Method for Volatile Compounds of Oak Wood Used for Aging Wines by Headspace SPME-GC-MS (SIM)","volume":"52","author":[{"family":"Díaz-Maroto","given":"M. Consuelo"},{"family":"Sánchez-Palomo","given":"Eva"},{"family":"Pérez-Coello","given":"M. Soledad"}],"issued":{"date-parts":[["2004",11,1]]}}}],"schema":"https://github.com/citation-style-language/schema/raw/master/csl-citation.json"} </w:instrText>
      </w:r>
      <w:r>
        <w:rPr>
          <w:lang w:val="en-GB"/>
        </w:rPr>
        <w:fldChar w:fldCharType="separate"/>
      </w:r>
      <w:r w:rsidR="001052AE" w:rsidRPr="001052AE">
        <w:rPr>
          <w:rFonts w:ascii="Cambria" w:hAnsi="Cambria"/>
        </w:rPr>
        <w:t>[17]</w:t>
      </w:r>
      <w:r>
        <w:rPr>
          <w:lang w:val="en-GB"/>
        </w:rPr>
        <w:fldChar w:fldCharType="end"/>
      </w:r>
      <w:r>
        <w:rPr>
          <w:lang w:val="en-GB"/>
        </w:rPr>
        <w:t xml:space="preserve">, accelerated solvent extraction </w:t>
      </w:r>
      <w:r>
        <w:rPr>
          <w:lang w:val="en-GB"/>
        </w:rPr>
        <w:fldChar w:fldCharType="begin"/>
      </w:r>
      <w:r w:rsidR="001052AE">
        <w:rPr>
          <w:lang w:val="en-GB"/>
        </w:rPr>
        <w:instrText xml:space="preserve"> ADDIN ZOTERO_ITEM CSL_CITATION {"citationID":"Z115RGUA","properties":{"formattedCitation":"[18]","plainCitation":"[18]","noteIndex":0},"citationItems":[{"id":"yKhL7Zc1/KmIkmuBo","uris":["http://zotero.org/users/local/2u4mFVJQ/items/VXUNXI93"],"itemData":{"id":7,"type":"article-journal","container-title":"Journal of Agricultural and Food Chemistry","DOI":"10.1021/jf0614387","ISSN":"0021-8561, 1520-5118","issue":"21","journalAbbreviation":"J. Agric. Food Chem.","language":"en","page":"8190-8198","source":"DOI.org (Crossref)","title":"Characterization of Volatiles in Extracts from Oak Chips Obtained by Accelerated Solvent Extraction (ASE)","volume":"54","author":[{"family":"Natali","given":"Nadia"},{"family":"Chinnici","given":"Fabio"},{"family":"Riponi","given":"Claudio"}],"issued":{"date-parts":[["2006",10,1]]}}}],"schema":"https://github.com/citation-style-language/schema/raw/master/csl-citation.json"} </w:instrText>
      </w:r>
      <w:r>
        <w:rPr>
          <w:lang w:val="en-GB"/>
        </w:rPr>
        <w:fldChar w:fldCharType="separate"/>
      </w:r>
      <w:r w:rsidR="001052AE" w:rsidRPr="001052AE">
        <w:rPr>
          <w:rFonts w:ascii="Cambria" w:hAnsi="Cambria"/>
        </w:rPr>
        <w:t>[18]</w:t>
      </w:r>
      <w:r>
        <w:rPr>
          <w:lang w:val="en-GB"/>
        </w:rPr>
        <w:fldChar w:fldCharType="end"/>
      </w:r>
      <w:r>
        <w:rPr>
          <w:lang w:val="en-GB"/>
        </w:rPr>
        <w:t xml:space="preserve"> and direct remote sampling using passivated canisters, followed by TD-GC-MS </w:t>
      </w:r>
      <w:r>
        <w:rPr>
          <w:lang w:val="en-GB"/>
        </w:rPr>
        <w:fldChar w:fldCharType="begin"/>
      </w:r>
      <w:r w:rsidR="001052AE">
        <w:rPr>
          <w:lang w:val="en-GB"/>
        </w:rPr>
        <w:instrText xml:space="preserve"> ADDIN ZOTERO_ITEM CSL_CITATION {"citationID":"JB9BW1BU","properties":{"formattedCitation":"[19]","plainCitation":"[19]","noteIndex":0},"citationItems":[{"id":"yKhL7Zc1/Joffbcg6","uris":["http://zotero.org/users/local/2u4mFVJQ/items/GXHKDUSV"],"itemData":{"id":86,"type":"article-journal","container-title":"Atmospheric Environment","DOI":"10.1016/j.atmosenv.2007.07.037","ISSN":"13522310","issue":"38","journalAbbreviation":"Atmospheric Environment","language":"en","page":"8736-8746","source":"DOI.org (Crossref)","title":"Biogenic VOC emissions from fresh leaf mulch and wood chips of Grevillea robusta (Australian Silky Oak)","volume":"41","author":[{"family":"Fedele","given":"Rosemary"},{"family":"Galbally","given":"Ian E."},{"family":"Porter","given":"Nichola"},{"family":"Weeks","given":"Ian A."}],"issued":{"date-parts":[["2007",12]]}}}],"schema":"https://github.com/citation-style-language/schema/raw/master/csl-citation.json"} </w:instrText>
      </w:r>
      <w:r>
        <w:rPr>
          <w:lang w:val="en-GB"/>
        </w:rPr>
        <w:fldChar w:fldCharType="separate"/>
      </w:r>
      <w:r w:rsidR="001052AE" w:rsidRPr="001052AE">
        <w:rPr>
          <w:rFonts w:ascii="Cambria" w:hAnsi="Cambria"/>
        </w:rPr>
        <w:t>[19]</w:t>
      </w:r>
      <w:r>
        <w:rPr>
          <w:lang w:val="en-GB"/>
        </w:rPr>
        <w:fldChar w:fldCharType="end"/>
      </w:r>
      <w:r>
        <w:rPr>
          <w:lang w:val="en-GB"/>
        </w:rPr>
        <w:t xml:space="preserve">. All these approaches are limited in </w:t>
      </w:r>
      <w:r w:rsidR="00EF1F8C">
        <w:rPr>
          <w:lang w:val="en-GB"/>
        </w:rPr>
        <w:t>throughput because</w:t>
      </w:r>
      <w:r>
        <w:rPr>
          <w:lang w:val="en-GB"/>
        </w:rPr>
        <w:t xml:space="preserve"> GC-MS analysis</w:t>
      </w:r>
      <w:r w:rsidR="00A67101">
        <w:rPr>
          <w:lang w:val="en-GB"/>
        </w:rPr>
        <w:t>, and sometimes sample pre-treatment, are time consuming steps</w:t>
      </w:r>
      <w:r>
        <w:rPr>
          <w:lang w:val="en-GB"/>
        </w:rPr>
        <w:t xml:space="preserve">. </w:t>
      </w:r>
      <w:r w:rsidR="00A67101">
        <w:rPr>
          <w:lang w:val="en-GB"/>
        </w:rPr>
        <w:t>S</w:t>
      </w:r>
      <w:r>
        <w:rPr>
          <w:lang w:val="en-GB"/>
        </w:rPr>
        <w:t xml:space="preserve">tudies published so far have often been restricted to one to three different species, sometimes focusing </w:t>
      </w:r>
      <w:r>
        <w:rPr>
          <w:lang w:val="en-GB"/>
        </w:rPr>
        <w:lastRenderedPageBreak/>
        <w:t>on a single tree and wood type (</w:t>
      </w:r>
      <w:r>
        <w:rPr>
          <w:i/>
          <w:iCs/>
          <w:lang w:val="en-GB"/>
        </w:rPr>
        <w:t>i.e.</w:t>
      </w:r>
      <w:r>
        <w:rPr>
          <w:lang w:val="en-GB"/>
        </w:rPr>
        <w:t xml:space="preserve">, either deciduous trees/hardwood or coniferous trees/softwood). Direct comparison between literature works, albeit possible, is made difficult by the fact that when different sample prep techniques are used, the respective ranges of sampled compounds will only be partially overlapping. Finally, it must be noted that most studies ignore potentially health-relevant VOCs emitted by wood such as methanol, acetaldehyde, formic acid and formaldehyde, because due to their chemical-physical characteristics, these are not retained -or poorly retained- by the Tenax-based sorbents used in the majority of TD tubes </w:t>
      </w:r>
      <w:r>
        <w:rPr>
          <w:lang w:val="en-GB"/>
        </w:rPr>
        <w:fldChar w:fldCharType="begin"/>
      </w:r>
      <w:r w:rsidR="001052AE">
        <w:rPr>
          <w:lang w:val="en-GB"/>
        </w:rPr>
        <w:instrText xml:space="preserve"> ADDIN ZOTERO_ITEM CSL_CITATION {"citationID":"biyc4JwG","properties":{"formattedCitation":"[20]","plainCitation":"[20]","noteIndex":0},"citationItems":[{"id":3551,"uris":["http://zotero.org/users/local/FaDQTzcp/items/C9SLCP75"],"itemData":{"id":3551,"type":"document","publisher":"UK Health &amp; Safety Executive","title":"MDHS 72: Volatile organic compounds in air. Laboratory method using pumped solid sorbent tubes, thermal desorption and gas chromatography","URL":"www.hse.gov.uk/pubns/mdhs/","issued":{"date-parts":[["1992"]]}}}],"schema":"https://github.com/citation-style-language/schema/raw/master/csl-citation.json"} </w:instrText>
      </w:r>
      <w:r>
        <w:rPr>
          <w:lang w:val="en-GB"/>
        </w:rPr>
        <w:fldChar w:fldCharType="separate"/>
      </w:r>
      <w:r w:rsidR="001052AE" w:rsidRPr="001052AE">
        <w:rPr>
          <w:rFonts w:ascii="Cambria" w:hAnsi="Cambria"/>
        </w:rPr>
        <w:t>[20]</w:t>
      </w:r>
      <w:r>
        <w:rPr>
          <w:lang w:val="en-GB"/>
        </w:rPr>
        <w:fldChar w:fldCharType="end"/>
      </w:r>
      <w:r>
        <w:rPr>
          <w:lang w:val="en-GB"/>
        </w:rPr>
        <w:t xml:space="preserve">. </w:t>
      </w:r>
    </w:p>
    <w:p w14:paraId="4CE0C3F0" w14:textId="7A545AB3" w:rsidR="00122F85" w:rsidRDefault="00593EC0">
      <w:pPr>
        <w:spacing w:line="360" w:lineRule="auto"/>
        <w:jc w:val="both"/>
        <w:rPr>
          <w:lang w:val="en-GB"/>
        </w:rPr>
      </w:pPr>
      <w:r>
        <w:rPr>
          <w:lang w:val="en-GB"/>
        </w:rPr>
        <w:t xml:space="preserve">PTR-ToF-MS has previously been used </w:t>
      </w:r>
      <w:r w:rsidR="00F13BC5">
        <w:rPr>
          <w:lang w:val="en-GB"/>
        </w:rPr>
        <w:t xml:space="preserve">to discriminate untreated wood core samples originating </w:t>
      </w:r>
      <w:r w:rsidR="00E3720F">
        <w:rPr>
          <w:lang w:val="en-GB"/>
        </w:rPr>
        <w:t>from 14 different tree species based on their VOC profiles</w:t>
      </w:r>
      <w:r w:rsidR="005E56B3">
        <w:rPr>
          <w:lang w:val="en-GB"/>
        </w:rPr>
        <w:t xml:space="preserve"> </w:t>
      </w:r>
      <w:r w:rsidR="00E3720F">
        <w:rPr>
          <w:lang w:val="en-GB"/>
        </w:rPr>
        <w:fldChar w:fldCharType="begin"/>
      </w:r>
      <w:r w:rsidR="00E3720F">
        <w:rPr>
          <w:lang w:val="en-GB"/>
        </w:rPr>
        <w:instrText xml:space="preserve"> ADDIN ZOTERO_ITEM CSL_CITATION {"citationID":"jIlC51w1","properties":{"formattedCitation":"[21]","plainCitation":"[21]","noteIndex":0},"citationItems":[{"id":3567,"uris":["http://zotero.org/users/local/FaDQTzcp/items/I3J8JBEP"],"itemData":{"id":3567,"type":"article-journal","container-title":"Wood Science and Technology","DOI":"10.1007/s00226-016-0866-5","ISSN":"0043-7719, 1432-5225","issue":"2","journalAbbreviation":"Wood Sci Technol","language":"en","page":"273-295","source":"DOI.org (Crossref)","title":"Assessing VOC emission by different wood cores using the PTR-ToF-MS technology","volume":"51","author":[{"family":"Taiti","given":"C."},{"family":"Costa","given":"C."},{"family":"Guidi Nissim","given":"W."},{"family":"Bibbiani","given":"S."},{"family":"Azzarello","given":"E."},{"family":"Masi","given":"E."},{"family":"Pandolfi","given":"C."},{"family":"Pallottino","given":"F."},{"family":"Menesatti","given":"P."},{"family":"Mancuso","given":"S."}],"issued":{"date-parts":[["2017",3]]}}}],"schema":"https://github.com/citation-style-language/schema/raw/master/csl-citation.json"} </w:instrText>
      </w:r>
      <w:r w:rsidR="00E3720F">
        <w:rPr>
          <w:lang w:val="en-GB"/>
        </w:rPr>
        <w:fldChar w:fldCharType="separate"/>
      </w:r>
      <w:r w:rsidR="00E3720F" w:rsidRPr="00E3720F">
        <w:rPr>
          <w:rFonts w:ascii="Cambria" w:hAnsi="Cambria"/>
        </w:rPr>
        <w:t>[21]</w:t>
      </w:r>
      <w:r w:rsidR="00E3720F">
        <w:rPr>
          <w:lang w:val="en-GB"/>
        </w:rPr>
        <w:fldChar w:fldCharType="end"/>
      </w:r>
      <w:r w:rsidR="00E3720F">
        <w:rPr>
          <w:lang w:val="en-GB"/>
        </w:rPr>
        <w:t xml:space="preserve">. </w:t>
      </w:r>
      <w:r w:rsidR="003D5F70">
        <w:rPr>
          <w:lang w:val="en-GB"/>
        </w:rPr>
        <w:t>Th</w:t>
      </w:r>
      <w:r w:rsidR="00DD3231">
        <w:rPr>
          <w:lang w:val="en-GB"/>
        </w:rPr>
        <w:t>e</w:t>
      </w:r>
      <w:r w:rsidR="003D5F70">
        <w:rPr>
          <w:lang w:val="en-GB"/>
        </w:rPr>
        <w:t xml:space="preserve"> </w:t>
      </w:r>
      <w:r w:rsidR="00DD3231">
        <w:rPr>
          <w:lang w:val="en-GB"/>
        </w:rPr>
        <w:t xml:space="preserve">present </w:t>
      </w:r>
      <w:r w:rsidR="003D5F70">
        <w:rPr>
          <w:lang w:val="en-GB"/>
        </w:rPr>
        <w:t xml:space="preserve">work is the first example of application of proton transfer reaction time-of-flight mass spectrometry (PTR-ToF-MS) to the analysis of </w:t>
      </w:r>
      <w:r w:rsidR="005E56B3">
        <w:rPr>
          <w:lang w:val="en-GB"/>
        </w:rPr>
        <w:t xml:space="preserve">thermally treated </w:t>
      </w:r>
      <w:r w:rsidR="003D5F70">
        <w:rPr>
          <w:lang w:val="en-GB"/>
        </w:rPr>
        <w:t>wood. VOCs emitted by wood originating from six different tree species</w:t>
      </w:r>
      <w:r w:rsidR="00C45778">
        <w:rPr>
          <w:lang w:val="en-GB"/>
        </w:rPr>
        <w:t xml:space="preserve"> were analysed</w:t>
      </w:r>
      <w:r w:rsidR="003D5F70">
        <w:rPr>
          <w:lang w:val="en-GB"/>
        </w:rPr>
        <w:t>, including both softwood (Norway spruce</w:t>
      </w:r>
      <w:r w:rsidR="00C45778">
        <w:rPr>
          <w:lang w:val="en-GB"/>
        </w:rPr>
        <w:t xml:space="preserve"> and</w:t>
      </w:r>
      <w:r w:rsidR="003D5F70">
        <w:rPr>
          <w:lang w:val="en-GB"/>
        </w:rPr>
        <w:t xml:space="preserve"> Scots pine) and hardwood (beech, ash, oak and tulipier). </w:t>
      </w:r>
      <w:r w:rsidR="007C76F6">
        <w:rPr>
          <w:lang w:val="en-GB"/>
        </w:rPr>
        <w:t>The work also investigates</w:t>
      </w:r>
      <w:r w:rsidR="003D5F70">
        <w:rPr>
          <w:lang w:val="en-GB"/>
        </w:rPr>
        <w:t xml:space="preserve"> VOC emission by TMW samples obtained with two patented heat-treatment processes (Styl</w:t>
      </w:r>
      <w:r w:rsidR="003D5F70">
        <w:rPr>
          <w:vertAlign w:val="superscript"/>
          <w:lang w:val="en-GB"/>
        </w:rPr>
        <w:t>+</w:t>
      </w:r>
      <w:r w:rsidR="003D5F70">
        <w:rPr>
          <w:lang w:val="en-GB"/>
        </w:rPr>
        <w:t>wood</w:t>
      </w:r>
      <w:r w:rsidR="003D5F70">
        <w:rPr>
          <w:vertAlign w:val="superscript"/>
          <w:lang w:val="en-GB"/>
        </w:rPr>
        <w:t xml:space="preserve">® </w:t>
      </w:r>
      <w:r w:rsidR="003D5F70">
        <w:rPr>
          <w:lang w:val="en-GB"/>
        </w:rPr>
        <w:t>and Thermo-vacuum</w:t>
      </w:r>
      <w:r w:rsidR="003D5F70">
        <w:rPr>
          <w:vertAlign w:val="superscript"/>
          <w:lang w:val="en-GB"/>
        </w:rPr>
        <w:t>®</w:t>
      </w:r>
      <w:r w:rsidR="003D5F70">
        <w:rPr>
          <w:lang w:val="en-GB"/>
        </w:rPr>
        <w:t>) based on different technologies, also varying temperature profiles. Whenever possible, VOC emissions by wood samples originating from different types of plant tissue (</w:t>
      </w:r>
      <w:r w:rsidR="003D5F70">
        <w:rPr>
          <w:i/>
          <w:iCs/>
          <w:lang w:val="en-GB"/>
        </w:rPr>
        <w:t>i.e.,</w:t>
      </w:r>
      <w:r w:rsidR="003D5F70">
        <w:rPr>
          <w:lang w:val="en-GB"/>
        </w:rPr>
        <w:t xml:space="preserve"> sapwood </w:t>
      </w:r>
      <w:r w:rsidR="003D5F70">
        <w:rPr>
          <w:i/>
          <w:iCs/>
          <w:lang w:val="en-GB"/>
        </w:rPr>
        <w:t>vs.</w:t>
      </w:r>
      <w:r w:rsidR="003D5F70">
        <w:rPr>
          <w:lang w:val="en-GB"/>
        </w:rPr>
        <w:t xml:space="preserve"> heartwood)</w:t>
      </w:r>
      <w:r w:rsidR="005E56B3">
        <w:rPr>
          <w:lang w:val="en-GB"/>
        </w:rPr>
        <w:t xml:space="preserve"> were compared</w:t>
      </w:r>
      <w:r w:rsidR="003D5F70">
        <w:rPr>
          <w:lang w:val="en-GB"/>
        </w:rPr>
        <w:t xml:space="preserve">. The rapidity of analysis provided by the direct-injection mass spectrometry technique allowed for the intercomparison of VOC emission profiles within a relatively large sample set. Since PTR-ToF-MS does not need any pre-concentration or derivatisation, direct determination of formic acid, methanol, formaldehyde and acetaldehyde was also possible. Overall, this study presents a comprehensive picture of the VOC profile of a wide range of native wood and TMW, proving PTR-ToF-MS is a </w:t>
      </w:r>
      <w:r w:rsidR="003D1D99">
        <w:rPr>
          <w:lang w:val="en-GB"/>
        </w:rPr>
        <w:t xml:space="preserve">potential </w:t>
      </w:r>
      <w:r w:rsidR="003D5F70">
        <w:rPr>
          <w:lang w:val="en-GB"/>
        </w:rPr>
        <w:t xml:space="preserve">powerful tool to support decision-making in the development </w:t>
      </w:r>
      <w:r w:rsidR="00126216">
        <w:rPr>
          <w:lang w:val="en-GB"/>
        </w:rPr>
        <w:t xml:space="preserve">and production </w:t>
      </w:r>
      <w:r w:rsidR="003D5F70">
        <w:rPr>
          <w:lang w:val="en-GB"/>
        </w:rPr>
        <w:t xml:space="preserve">of </w:t>
      </w:r>
      <w:r w:rsidR="00126216">
        <w:rPr>
          <w:lang w:val="en-GB"/>
        </w:rPr>
        <w:t>TMW products for different end-use products</w:t>
      </w:r>
      <w:r w:rsidR="003D5F70">
        <w:rPr>
          <w:lang w:val="en-GB"/>
        </w:rPr>
        <w:t>.</w:t>
      </w:r>
    </w:p>
    <w:p w14:paraId="65C9B703" w14:textId="77777777" w:rsidR="00122F85" w:rsidRDefault="00122F85">
      <w:pPr>
        <w:jc w:val="both"/>
        <w:rPr>
          <w:lang w:val="en-GB"/>
        </w:rPr>
      </w:pPr>
    </w:p>
    <w:p w14:paraId="067ECC5A" w14:textId="77777777" w:rsidR="00122F85" w:rsidRDefault="003D5F70">
      <w:pPr>
        <w:jc w:val="both"/>
        <w:rPr>
          <w:b/>
          <w:lang w:val="en-GB"/>
        </w:rPr>
      </w:pPr>
      <w:r>
        <w:rPr>
          <w:b/>
          <w:lang w:val="en-GB"/>
        </w:rPr>
        <w:t>Materials and methods</w:t>
      </w:r>
    </w:p>
    <w:p w14:paraId="49725F81" w14:textId="77777777" w:rsidR="00122F85" w:rsidRDefault="00122F85">
      <w:pPr>
        <w:jc w:val="both"/>
        <w:rPr>
          <w:b/>
          <w:lang w:val="en-GB"/>
        </w:rPr>
      </w:pPr>
    </w:p>
    <w:p w14:paraId="43C6A44A" w14:textId="77777777" w:rsidR="00122F85" w:rsidRDefault="003D5F70">
      <w:pPr>
        <w:jc w:val="both"/>
        <w:rPr>
          <w:b/>
          <w:lang w:val="en-GB"/>
        </w:rPr>
      </w:pPr>
      <w:r>
        <w:rPr>
          <w:b/>
          <w:lang w:val="en-GB"/>
        </w:rPr>
        <w:t>Thermal treatment</w:t>
      </w:r>
    </w:p>
    <w:p w14:paraId="36998F36" w14:textId="77777777" w:rsidR="00122F85" w:rsidRDefault="00122F85">
      <w:pPr>
        <w:jc w:val="both"/>
        <w:rPr>
          <w:b/>
          <w:lang w:val="en-GB"/>
        </w:rPr>
      </w:pPr>
    </w:p>
    <w:p w14:paraId="3C17ECC6" w14:textId="6B2E26AE" w:rsidR="00122F85" w:rsidRDefault="003D5F70">
      <w:pPr>
        <w:spacing w:line="360" w:lineRule="auto"/>
        <w:jc w:val="both"/>
        <w:rPr>
          <w:lang w:val="en-GB"/>
        </w:rPr>
      </w:pPr>
      <w:r>
        <w:rPr>
          <w:lang w:val="en-GB"/>
        </w:rPr>
        <w:lastRenderedPageBreak/>
        <w:t>The Styl</w:t>
      </w:r>
      <w:r>
        <w:rPr>
          <w:vertAlign w:val="superscript"/>
          <w:lang w:val="en-GB"/>
        </w:rPr>
        <w:t>+</w:t>
      </w:r>
      <w:r>
        <w:rPr>
          <w:lang w:val="en-GB"/>
        </w:rPr>
        <w:t>wood</w:t>
      </w:r>
      <w:r>
        <w:rPr>
          <w:vertAlign w:val="superscript"/>
          <w:lang w:val="en-GB"/>
        </w:rPr>
        <w:t>®</w:t>
      </w:r>
      <w:r>
        <w:rPr>
          <w:lang w:val="en-GB"/>
        </w:rPr>
        <w:t xml:space="preserve"> technology (henceforth named SW) is a new thermal modification process </w:t>
      </w:r>
      <w:r w:rsidR="005C78B7">
        <w:rPr>
          <w:lang w:val="en-GB"/>
        </w:rPr>
        <w:t>entering the</w:t>
      </w:r>
      <w:r>
        <w:rPr>
          <w:lang w:val="en-GB"/>
        </w:rPr>
        <w:t xml:space="preserve"> market, developed by BigOnDry srl (Castione, Italy). In this system, the oxygen in the reactor is excluded by means of a slight overpressure produced by the gases released by the wood pyrolysis and, if needed, by the injection of a small quantity of saturated steam. The process is controlled by a software which considers different inputs such as the oxygen concentration, the </w:t>
      </w:r>
      <w:r w:rsidR="00996D8D">
        <w:rPr>
          <w:lang w:val="en-GB"/>
        </w:rPr>
        <w:t>pressure,</w:t>
      </w:r>
      <w:r>
        <w:rPr>
          <w:lang w:val="en-GB"/>
        </w:rPr>
        <w:t xml:space="preserve"> and the temperature difference between the core of the wood and the surrounding air. According to Hill </w:t>
      </w:r>
      <w:r>
        <w:rPr>
          <w:lang w:val="en-GB"/>
        </w:rPr>
        <w:fldChar w:fldCharType="begin"/>
      </w:r>
      <w:r w:rsidR="001052AE">
        <w:rPr>
          <w:lang w:val="en-GB"/>
        </w:rPr>
        <w:instrText xml:space="preserve"> ADDIN ZOTERO_ITEM CSL_CITATION {"citationID":"qD6yZjBO","properties":{"formattedCitation":"[7]","plainCitation":"[7]","noteIndex":0},"citationItems":[{"id":915,"uris":["http://zotero.org/users/local/FaDQTzcp/items/JBL2MN9R"],"itemData":{"id":915,"type":"book","call-number":"TA424 .H55 2006","collection-title":"Wiley series in renewable resources","event-place":"Chichester, England ; Hoboken, NJ","ISBN":"978-0-470-02172-9","note":"OCLC: ocm61169770","number-of-pages":"239","publisher":"John Wiley &amp; Sons","publisher-place":"Chichester, England ; Hoboken, NJ","source":"Library of Congress ISBN","title":"Wood modification: chemical, thermal and other processes","title-short":"Wood modification","author":[{"family":"Hill","given":"Callum A. S."}],"issued":{"date-parts":[["2006"]]}}}],"schema":"https://github.com/citation-style-language/schema/raw/master/csl-citation.json"} </w:instrText>
      </w:r>
      <w:r>
        <w:rPr>
          <w:lang w:val="en-GB"/>
        </w:rPr>
        <w:fldChar w:fldCharType="separate"/>
      </w:r>
      <w:r w:rsidR="001052AE" w:rsidRPr="001052AE">
        <w:rPr>
          <w:rFonts w:ascii="Cambria" w:hAnsi="Cambria"/>
        </w:rPr>
        <w:t>[7]</w:t>
      </w:r>
      <w:r>
        <w:rPr>
          <w:lang w:val="en-GB"/>
        </w:rPr>
        <w:fldChar w:fldCharType="end"/>
      </w:r>
      <w:r>
        <w:rPr>
          <w:lang w:val="en-GB"/>
        </w:rPr>
        <w:t xml:space="preserve"> it is classified as a wet close system, even if it is actually a semi-wet system since the moisture in the reactor during the process is lower than in systems with saturated steam or superheated steam. In the framework of the present research project, technological properties of SW products including VOC emissions were investigated.</w:t>
      </w:r>
    </w:p>
    <w:p w14:paraId="7CE33FD1" w14:textId="42752B15" w:rsidR="00122F85" w:rsidRDefault="003D5F70">
      <w:pPr>
        <w:spacing w:line="360" w:lineRule="auto"/>
        <w:jc w:val="both"/>
        <w:rPr>
          <w:lang w:val="en-GB"/>
        </w:rPr>
      </w:pPr>
      <w:r>
        <w:rPr>
          <w:lang w:val="en-GB"/>
        </w:rPr>
        <w:t>The Thermo-vacuum</w:t>
      </w:r>
      <w:r>
        <w:rPr>
          <w:vertAlign w:val="superscript"/>
          <w:lang w:val="en-GB"/>
        </w:rPr>
        <w:t>®</w:t>
      </w:r>
      <w:r>
        <w:rPr>
          <w:lang w:val="en-GB"/>
        </w:rPr>
        <w:t xml:space="preserve"> technology (henceforth named TV) is a thermal modification process where a low oxygen concentration is provided by vacuum and it is characterised by convective heat transfer. The system has been extensively described in previous papers </w:t>
      </w:r>
      <w:r>
        <w:rPr>
          <w:lang w:val="en-GB"/>
        </w:rPr>
        <w:fldChar w:fldCharType="begin"/>
      </w:r>
      <w:r w:rsidR="00E3720F">
        <w:rPr>
          <w:lang w:val="en-GB"/>
        </w:rPr>
        <w:instrText xml:space="preserve"> ADDIN ZOTERO_ITEM CSL_CITATION {"citationID":"XyFDtB0b","properties":{"formattedCitation":"[22,23]","plainCitation":"[22,23]","noteIndex":0},"citationItems":[{"id":893,"uris":["http://zotero.org/users/local/FaDQTzcp/items/KS8KVM37"],"itemData":{"id":893,"type":"article-journal","container-title":"BioResources","issue":"3","page":"3656-3669","title":"Thermo-vacuum modification of spruce (Picea abies karst.) and fir (Abies alba mill.) wood","volume":"7","author":[{"family":"Allegretti","given":"Ottaviano"},{"family":"Brunetti","given":"Michele"},{"family":"Cuccui","given":"Ignazia"},{"family":"Ferrari","given":"Silvia"},{"family":"Nocetti","given":"Michela"},{"family":"Terziev","given":"Nasko"}],"issued":{"date-parts":[["2012"]]}}},{"id":"yKhL7Zc1/JBlPGfJu","uris":["http://zotero.org/users/local/2u4mFVJQ/items/HFIJUKPU"],"itemData":{"id":87,"type":"article-journal","abstract":"Abstract\n            Mass loss (ML) of wood caused by thermal degradation is one of the most important features of the thermal treatments and referred to as an indicator of intensity and quality of the process. The ML is proportional to the quantity of the effective heat power exchanged during the treatment process, represented by the area of the temperature profile versus time during the process. In this paper a model for the ML prediction based on the relative area was discussed. The model proposed an analytical solution to take into account the non-linear trend of ML when plotted versus temperature and time as observed in isothermal experiments. The model was validated comparing calculated and measured final ML of samples treated during thermal modification tests with different temperature profiles. The results showed that the relative area calculated in a transformed time-temperature space improves the correlation with the measured ML.","container-title":"Holzforschung","DOI":"10.1515/hf-2020-0127","ISSN":"1437-434X, 0018-3830","issue":"5","language":"en","page":"474-479","source":"DOI.org (Crossref)","title":"A model to predict the kinetics of mass loss in wood during thermo-vacuum modification","volume":"75","author":[{"family":"Allegretti","given":"Ottaviano"},{"family":"Cuccui","given":"Ignazia"},{"family":"Terziev","given":"Nasko"},{"family":"Sorini","given":"Laerte"}],"issued":{"date-parts":[["2021",5,26]]}}}],"schema":"https://github.com/citation-style-language/schema/raw/master/csl-citation.json"} </w:instrText>
      </w:r>
      <w:r>
        <w:rPr>
          <w:lang w:val="en-GB"/>
        </w:rPr>
        <w:fldChar w:fldCharType="separate"/>
      </w:r>
      <w:r w:rsidR="00E3720F" w:rsidRPr="00E3720F">
        <w:rPr>
          <w:rFonts w:ascii="Cambria" w:hAnsi="Cambria"/>
        </w:rPr>
        <w:t>[22,23]</w:t>
      </w:r>
      <w:r>
        <w:rPr>
          <w:lang w:val="en-GB"/>
        </w:rPr>
        <w:fldChar w:fldCharType="end"/>
      </w:r>
      <w:r>
        <w:rPr>
          <w:lang w:val="en-GB"/>
        </w:rPr>
        <w:t xml:space="preserve">. According to Hill </w:t>
      </w:r>
      <w:r>
        <w:rPr>
          <w:lang w:val="en-GB"/>
        </w:rPr>
        <w:fldChar w:fldCharType="begin"/>
      </w:r>
      <w:r w:rsidR="001052AE">
        <w:rPr>
          <w:lang w:val="en-GB"/>
        </w:rPr>
        <w:instrText xml:space="preserve"> ADDIN ZOTERO_ITEM CSL_CITATION {"citationID":"HRFUhhzB","properties":{"formattedCitation":"[7]","plainCitation":"[7]","noteIndex":0},"citationItems":[{"id":915,"uris":["http://zotero.org/users/local/FaDQTzcp/items/JBL2MN9R"],"itemData":{"id":915,"type":"book","call-number":"TA424 .H55 2006","collection-title":"Wiley series in renewable resources","event-place":"Chichester, England ; Hoboken, NJ","ISBN":"978-0-470-02172-9","note":"OCLC: ocm61169770","number-of-pages":"239","publisher":"John Wiley &amp; Sons","publisher-place":"Chichester, England ; Hoboken, NJ","source":"Library of Congress ISBN","title":"Wood modification: chemical, thermal and other processes","title-short":"Wood modification","author":[{"family":"Hill","given":"Callum A. S."}],"issued":{"date-parts":[["2006"]]}}}],"schema":"https://github.com/citation-style-language/schema/raw/master/csl-citation.json"} </w:instrText>
      </w:r>
      <w:r>
        <w:rPr>
          <w:lang w:val="en-GB"/>
        </w:rPr>
        <w:fldChar w:fldCharType="separate"/>
      </w:r>
      <w:r w:rsidR="001052AE" w:rsidRPr="001052AE">
        <w:rPr>
          <w:rFonts w:ascii="Cambria" w:hAnsi="Cambria"/>
        </w:rPr>
        <w:t>[7]</w:t>
      </w:r>
      <w:r>
        <w:rPr>
          <w:lang w:val="en-GB"/>
        </w:rPr>
        <w:fldChar w:fldCharType="end"/>
      </w:r>
      <w:r>
        <w:rPr>
          <w:lang w:val="en-GB"/>
        </w:rPr>
        <w:t xml:space="preserve"> it is classified as a dry open system since during the modification stage it does not make use of any source of vapour. In addition, the on-off activity of the vacuum pump continuously removes from the reactor all volatile compounds that contribute to accelerat</w:t>
      </w:r>
      <w:r w:rsidR="00870FBF">
        <w:rPr>
          <w:lang w:val="en-GB"/>
        </w:rPr>
        <w:t>ing</w:t>
      </w:r>
      <w:r>
        <w:rPr>
          <w:lang w:val="en-GB"/>
        </w:rPr>
        <w:t xml:space="preserve"> degradation of polysaccharides in the wood cell wall. In theory</w:t>
      </w:r>
      <w:r w:rsidR="004E17D3">
        <w:rPr>
          <w:lang w:val="en-GB"/>
        </w:rPr>
        <w:t>,</w:t>
      </w:r>
      <w:r>
        <w:rPr>
          <w:lang w:val="en-GB"/>
        </w:rPr>
        <w:t xml:space="preserve"> this should lead </w:t>
      </w:r>
      <w:r w:rsidR="004E17D3">
        <w:rPr>
          <w:lang w:val="en-GB"/>
        </w:rPr>
        <w:t xml:space="preserve">to </w:t>
      </w:r>
      <w:r>
        <w:rPr>
          <w:lang w:val="en-GB"/>
        </w:rPr>
        <w:t xml:space="preserve">lower mass loss </w:t>
      </w:r>
      <w:r w:rsidR="004E17D3">
        <w:rPr>
          <w:lang w:val="en-GB"/>
        </w:rPr>
        <w:t>and</w:t>
      </w:r>
      <w:r>
        <w:rPr>
          <w:lang w:val="en-GB"/>
        </w:rPr>
        <w:t xml:space="preserve"> VOC emission compared to SW</w:t>
      </w:r>
      <w:r w:rsidR="00870FBF">
        <w:rPr>
          <w:lang w:val="en-GB"/>
        </w:rPr>
        <w:t xml:space="preserve"> </w:t>
      </w:r>
      <w:r w:rsidR="00AD3004">
        <w:rPr>
          <w:lang w:val="en-GB"/>
        </w:rPr>
        <w:fldChar w:fldCharType="begin"/>
      </w:r>
      <w:r w:rsidR="00AD3004">
        <w:rPr>
          <w:lang w:val="en-GB"/>
        </w:rPr>
        <w:instrText xml:space="preserve"> ADDIN ZOTERO_ITEM CSL_CITATION {"citationID":"2h4gpfvZ","properties":{"formattedCitation":"[24]","plainCitation":"[24]","noteIndex":0},"citationItems":[{"id":3568,"uris":["http://zotero.org/users/local/FaDQTzcp/items/76GI8ZJK"],"itemData":{"id":3568,"type":"article-journal","abstract":"Abstract\n            \n              Key message\n              \n                An efficient use of thermal treatment of wood requires a depth understanding of the chemical modifications induced. This is a prerequisite to avoid problems of process control, and to provide high quality treated wood with accurately assessed properties to the market. Properties and structural anatomy of thermally modified woods are slightly different than un-processed woods from a same wood species. So it is necessary to create or adapt new analytical methods to control their quality.\n              \n            \n            \n              Context\n              Heat treatment as a wood modification process is based on chemical degradation of wood polymer by heat transfer. It improves mainly the resistance of wood to decay and provides dimensional stability. These improvements, which come at the expense of a weakening of mechanical properties, have been extensively studied. Since a decade, researches focused mainly on the understanding of wood thermal degradation, on modelling, on quality prediction and quality control.\n            \n            \n              Aims\n              We aimed at reviewing the recent advances about (i) the analytical methods used to control thermal treatment; (ii) the effects on wood decay resistance and (iii) the advantages and drawbacks of a potential industrial use of wood heating.\n            \n            \n              Methods\n              We carried out a literature review of the main industrial methods used to evaluate the conferred wood properties, by thermal treatment. We used papers and reports published between 1970 and 2015, identified in the web of science data base..\n            \n            \n              Results\n              Approximately 100 papers mostly published after 2000 were retrieved. They concentrated on: (i) wood mass loss due to thermal degradation determination, (ii) spectroscopic analyses of wood properties, (iii) colour measurements, (iv) chemical composition, (v) non-destructive mechanical assessments and (vi) use of industrial data.\n            \n            \n              Conclusions\n              One of most interesting property of heat-treated wood remains its decay resistance. Durability test with modified wood in laboratory are expensive and time-consuming. This review displays data from different analytical methods, such as spectroscopy, thermogravimetry, chemical analyses or mechanical tests that have the potential to be valuable indicators to assess the durability of heat treated wood at industrial scale. However, each method has its limits and drawbacks, such as the required investment for the equipment, reliability and accuracy of the results and ease of use at industrial scale.","container-title":"Annals of Forest Science","DOI":"10.1007/s13595-016-0541-x","ISSN":"1286-4560, 1297-966X","issue":"3","journalAbbreviation":"Annals of Forest Science","language":"en","page":"571-583","source":"DOI.org (Crossref)","title":"Control of wood thermal treatment and its effects on decay resistance: a review","title-short":"Control of wood thermal treatment and its effects on decay resistance","volume":"73","author":[{"family":"Candelier","given":"Kévin"},{"family":"Thevenon","given":"Marie-France"},{"family":"Petrissans","given":"Anélie"},{"family":"Dumarcay","given":"Stéphane"},{"family":"Gerardin","given":"Philippe"},{"family":"Petrissans","given":"Mathieu"}],"issued":{"date-parts":[["2016",9]]}}}],"schema":"https://github.com/citation-style-language/schema/raw/master/csl-citation.json"} </w:instrText>
      </w:r>
      <w:r w:rsidR="00AD3004">
        <w:rPr>
          <w:lang w:val="en-GB"/>
        </w:rPr>
        <w:fldChar w:fldCharType="separate"/>
      </w:r>
      <w:r w:rsidR="00AD3004" w:rsidRPr="00AD3004">
        <w:rPr>
          <w:rFonts w:ascii="Cambria" w:hAnsi="Cambria"/>
        </w:rPr>
        <w:t>[24]</w:t>
      </w:r>
      <w:r w:rsidR="00AD3004">
        <w:rPr>
          <w:lang w:val="en-GB"/>
        </w:rPr>
        <w:fldChar w:fldCharType="end"/>
      </w:r>
      <w:r>
        <w:rPr>
          <w:lang w:val="en-GB"/>
        </w:rPr>
        <w:t>.</w:t>
      </w:r>
    </w:p>
    <w:p w14:paraId="3514379A" w14:textId="764DF632" w:rsidR="00122F85" w:rsidRDefault="003D5F70">
      <w:pPr>
        <w:spacing w:line="360" w:lineRule="auto"/>
        <w:jc w:val="both"/>
        <w:rPr>
          <w:lang w:val="en-GB"/>
        </w:rPr>
      </w:pPr>
      <w:r>
        <w:rPr>
          <w:lang w:val="en-GB"/>
        </w:rPr>
        <w:t>In the present study</w:t>
      </w:r>
      <w:r w:rsidR="001F4783">
        <w:rPr>
          <w:lang w:val="en-GB"/>
        </w:rPr>
        <w:t>,</w:t>
      </w:r>
      <w:r>
        <w:rPr>
          <w:lang w:val="en-GB"/>
        </w:rPr>
        <w:t xml:space="preserve"> variation of VOC emission from wood due to thermal modification</w:t>
      </w:r>
      <w:r w:rsidR="001F4783">
        <w:rPr>
          <w:lang w:val="en-GB"/>
        </w:rPr>
        <w:t xml:space="preserve"> was investigated</w:t>
      </w:r>
      <w:r>
        <w:rPr>
          <w:lang w:val="en-GB"/>
        </w:rPr>
        <w:t xml:space="preserve">. </w:t>
      </w:r>
      <w:r w:rsidR="001F4783">
        <w:rPr>
          <w:lang w:val="en-GB"/>
        </w:rPr>
        <w:t>The</w:t>
      </w:r>
      <w:r>
        <w:rPr>
          <w:lang w:val="en-GB"/>
        </w:rPr>
        <w:t xml:space="preserve"> analysis </w:t>
      </w:r>
      <w:r w:rsidR="001F4783">
        <w:rPr>
          <w:lang w:val="en-GB"/>
        </w:rPr>
        <w:t xml:space="preserve">was carried out </w:t>
      </w:r>
      <w:r>
        <w:rPr>
          <w:lang w:val="en-GB"/>
        </w:rPr>
        <w:t xml:space="preserve">in five different SW and one TV modification batches. Each batch was composed by a mixed stack containing sawn boards of the wooden species analysed. </w:t>
      </w:r>
      <w:r w:rsidR="00AF34F2">
        <w:rPr>
          <w:lang w:val="en-GB"/>
        </w:rPr>
        <w:t>Figure 1 represents the temperature profiles of the thermal treatments:</w:t>
      </w:r>
      <w:r>
        <w:rPr>
          <w:lang w:val="en-GB"/>
        </w:rPr>
        <w:t xml:space="preserve"> </w:t>
      </w:r>
      <w:r w:rsidR="00AF34F2">
        <w:rPr>
          <w:lang w:val="en-GB"/>
        </w:rPr>
        <w:t>thee are</w:t>
      </w:r>
      <w:r>
        <w:rPr>
          <w:lang w:val="en-GB"/>
        </w:rPr>
        <w:t xml:space="preserve"> characterized by the maximum temperature reached (</w:t>
      </w:r>
      <w:r>
        <w:rPr>
          <w:i/>
          <w:lang w:val="en-GB"/>
        </w:rPr>
        <w:t>T</w:t>
      </w:r>
      <w:r>
        <w:rPr>
          <w:i/>
          <w:vertAlign w:val="subscript"/>
          <w:lang w:val="en-GB"/>
        </w:rPr>
        <w:t>max</w:t>
      </w:r>
      <w:r>
        <w:rPr>
          <w:lang w:val="en-GB"/>
        </w:rPr>
        <w:t>) and by the relative area (</w:t>
      </w:r>
      <w:r>
        <w:rPr>
          <w:i/>
          <w:lang w:val="en-GB"/>
        </w:rPr>
        <w:t>H</w:t>
      </w:r>
      <w:r>
        <w:rPr>
          <w:lang w:val="en-GB"/>
        </w:rPr>
        <w:t xml:space="preserve">). </w:t>
      </w:r>
      <w:r>
        <w:rPr>
          <w:i/>
          <w:lang w:val="en-GB"/>
        </w:rPr>
        <w:t>H</w:t>
      </w:r>
      <w:r>
        <w:rPr>
          <w:lang w:val="en-GB"/>
        </w:rPr>
        <w:t xml:space="preserve"> [h·°C]</w:t>
      </w:r>
      <w:r w:rsidR="00AF34F2">
        <w:rPr>
          <w:lang w:val="en-GB"/>
        </w:rPr>
        <w:t>, which</w:t>
      </w:r>
      <w:r>
        <w:rPr>
          <w:lang w:val="en-GB"/>
        </w:rPr>
        <w:t xml:space="preserve"> is calculated from the temperature profile </w:t>
      </w:r>
      <w:r>
        <w:rPr>
          <w:i/>
          <w:iCs/>
          <w:lang w:val="en-GB"/>
        </w:rPr>
        <w:t>vs.</w:t>
      </w:r>
      <w:r>
        <w:rPr>
          <w:lang w:val="en-GB"/>
        </w:rPr>
        <w:t xml:space="preserve"> time and represents the quantity of effective heat power exchanged during the treatment process linearly correlated with the wood mass loss (</w:t>
      </w:r>
      <w:r>
        <w:rPr>
          <w:i/>
          <w:lang w:val="en-GB"/>
        </w:rPr>
        <w:t>ML</w:t>
      </w:r>
      <w:r>
        <w:rPr>
          <w:lang w:val="en-GB"/>
        </w:rPr>
        <w:t>), which is the true indicator of the modification intensity. Table 1 summarises process parameters.</w:t>
      </w:r>
    </w:p>
    <w:p w14:paraId="63A5E064" w14:textId="77777777" w:rsidR="00122F85" w:rsidRDefault="003D5F70">
      <w:pPr>
        <w:jc w:val="center"/>
        <w:rPr>
          <w:lang w:val="en-GB"/>
        </w:rPr>
      </w:pPr>
      <w:r>
        <w:rPr>
          <w:noProof/>
          <w:lang w:val="it-IT" w:eastAsia="it-IT"/>
        </w:rPr>
        <w:lastRenderedPageBreak/>
        <mc:AlternateContent>
          <mc:Choice Requires="wpg">
            <w:drawing>
              <wp:inline distT="0" distB="0" distL="0" distR="0" wp14:anchorId="6553F72B" wp14:editId="613E1C6A">
                <wp:extent cx="3886400" cy="3048157"/>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01.png"/>
                        <pic:cNvPicPr>
                          <a:picLocks noChangeAspect="1"/>
                        </pic:cNvPicPr>
                      </pic:nvPicPr>
                      <pic:blipFill>
                        <a:blip r:embed="rId10"/>
                        <a:stretch/>
                      </pic:blipFill>
                      <pic:spPr bwMode="auto">
                        <a:xfrm>
                          <a:off x="0" y="0"/>
                          <a:ext cx="3886399" cy="3048157"/>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mso-wrap-distance-left:0.0pt;mso-wrap-distance-top:0.0pt;mso-wrap-distance-right:0.0pt;mso-wrap-distance-bottom:0.0pt;width:306.0pt;height:240.0pt;" stroked="false">
                <v:path textboxrect="0,0,0,0"/>
                <v:imagedata r:id="rId13" o:title=""/>
              </v:shape>
            </w:pict>
          </mc:Fallback>
        </mc:AlternateContent>
      </w:r>
    </w:p>
    <w:p w14:paraId="6D9E472C" w14:textId="77777777" w:rsidR="00122F85" w:rsidRDefault="003D5F70">
      <w:pPr>
        <w:rPr>
          <w:lang w:val="en-GB"/>
        </w:rPr>
      </w:pPr>
      <w:r>
        <w:rPr>
          <w:b/>
          <w:lang w:val="en-GB"/>
        </w:rPr>
        <w:t>Figure 1.</w:t>
      </w:r>
      <w:r>
        <w:rPr>
          <w:lang w:val="en-GB"/>
        </w:rPr>
        <w:t xml:space="preserve"> Temperature profiles of the thermal treatments.</w:t>
      </w:r>
    </w:p>
    <w:p w14:paraId="6C1D63EF" w14:textId="77777777" w:rsidR="00122F85" w:rsidRDefault="00122F85">
      <w:pPr>
        <w:rPr>
          <w:b/>
          <w:lang w:val="en-GB"/>
        </w:rPr>
      </w:pPr>
    </w:p>
    <w:tbl>
      <w:tblPr>
        <w:tblW w:w="8364" w:type="dxa"/>
        <w:jc w:val="center"/>
        <w:tblLayout w:type="fixed"/>
        <w:tblCellMar>
          <w:left w:w="10" w:type="dxa"/>
          <w:right w:w="10" w:type="dxa"/>
        </w:tblCellMar>
        <w:tblLook w:val="04A0" w:firstRow="1" w:lastRow="0" w:firstColumn="1" w:lastColumn="0" w:noHBand="0" w:noVBand="1"/>
      </w:tblPr>
      <w:tblGrid>
        <w:gridCol w:w="851"/>
        <w:gridCol w:w="709"/>
        <w:gridCol w:w="850"/>
        <w:gridCol w:w="851"/>
        <w:gridCol w:w="1134"/>
        <w:gridCol w:w="850"/>
        <w:gridCol w:w="1134"/>
        <w:gridCol w:w="992"/>
        <w:gridCol w:w="993"/>
      </w:tblGrid>
      <w:tr w:rsidR="00122F85" w14:paraId="10CAC87F" w14:textId="77777777">
        <w:trPr>
          <w:jc w:val="center"/>
        </w:trPr>
        <w:tc>
          <w:tcPr>
            <w:tcW w:w="851" w:type="dxa"/>
            <w:tcBorders>
              <w:top w:val="single" w:sz="4" w:space="0" w:color="auto"/>
              <w:bottom w:val="single" w:sz="4" w:space="0" w:color="auto"/>
            </w:tcBorders>
            <w:shd w:val="clear" w:color="auto" w:fill="auto"/>
            <w:tcMar>
              <w:top w:w="0" w:type="dxa"/>
              <w:left w:w="108" w:type="dxa"/>
              <w:bottom w:w="0" w:type="dxa"/>
              <w:right w:w="108" w:type="dxa"/>
            </w:tcMar>
          </w:tcPr>
          <w:p w14:paraId="3E8FB8E4" w14:textId="77777777" w:rsidR="00122F85" w:rsidRDefault="003D5F70">
            <w:pPr>
              <w:rPr>
                <w:b/>
                <w:iCs/>
                <w:lang w:val="en-GB"/>
              </w:rPr>
            </w:pPr>
            <w:r>
              <w:rPr>
                <w:b/>
                <w:iCs/>
                <w:lang w:val="en-GB"/>
              </w:rPr>
              <w:t>batch</w:t>
            </w:r>
          </w:p>
        </w:tc>
        <w:tc>
          <w:tcPr>
            <w:tcW w:w="709" w:type="dxa"/>
            <w:tcBorders>
              <w:top w:val="single" w:sz="4" w:space="0" w:color="auto"/>
              <w:bottom w:val="single" w:sz="4" w:space="0" w:color="auto"/>
            </w:tcBorders>
            <w:shd w:val="clear" w:color="auto" w:fill="auto"/>
            <w:tcMar>
              <w:top w:w="0" w:type="dxa"/>
              <w:left w:w="108" w:type="dxa"/>
              <w:bottom w:w="0" w:type="dxa"/>
              <w:right w:w="108" w:type="dxa"/>
            </w:tcMar>
          </w:tcPr>
          <w:p w14:paraId="2AB4E06A" w14:textId="77777777" w:rsidR="00122F85" w:rsidRDefault="003D5F70">
            <w:pPr>
              <w:rPr>
                <w:b/>
                <w:iCs/>
                <w:lang w:val="en-GB"/>
              </w:rPr>
            </w:pPr>
            <w:r>
              <w:rPr>
                <w:b/>
                <w:iCs/>
                <w:lang w:val="en-GB"/>
              </w:rPr>
              <w:t>T</w:t>
            </w:r>
            <w:r>
              <w:rPr>
                <w:b/>
                <w:iCs/>
                <w:vertAlign w:val="subscript"/>
                <w:lang w:val="en-GB"/>
              </w:rPr>
              <w:t>max</w:t>
            </w:r>
            <w:r>
              <w:rPr>
                <w:b/>
                <w:iCs/>
                <w:lang w:val="en-GB"/>
              </w:rPr>
              <w:t xml:space="preserve"> [°C]</w:t>
            </w:r>
          </w:p>
        </w:tc>
        <w:tc>
          <w:tcPr>
            <w:tcW w:w="850" w:type="dxa"/>
            <w:tcBorders>
              <w:top w:val="single" w:sz="4" w:space="0" w:color="auto"/>
              <w:bottom w:val="single" w:sz="4" w:space="0" w:color="auto"/>
            </w:tcBorders>
            <w:shd w:val="clear" w:color="auto" w:fill="auto"/>
            <w:tcMar>
              <w:top w:w="0" w:type="dxa"/>
              <w:left w:w="108" w:type="dxa"/>
              <w:bottom w:w="0" w:type="dxa"/>
              <w:right w:w="108" w:type="dxa"/>
            </w:tcMar>
          </w:tcPr>
          <w:p w14:paraId="78121753" w14:textId="77777777" w:rsidR="00122F85" w:rsidRDefault="003D5F70">
            <w:pPr>
              <w:rPr>
                <w:iCs/>
                <w:lang w:val="en-GB"/>
              </w:rPr>
            </w:pPr>
            <w:r>
              <w:rPr>
                <w:b/>
                <w:iCs/>
                <w:lang w:val="en-GB"/>
              </w:rPr>
              <w:t>H</w:t>
            </w:r>
            <w:r>
              <w:rPr>
                <w:b/>
                <w:iCs/>
                <w:vertAlign w:val="subscript"/>
                <w:lang w:val="en-GB"/>
              </w:rPr>
              <w:t>132</w:t>
            </w:r>
            <w:r>
              <w:rPr>
                <w:b/>
                <w:iCs/>
                <w:lang w:val="en-GB"/>
              </w:rPr>
              <w:t xml:space="preserve"> [h</w:t>
            </w:r>
            <w:r>
              <w:rPr>
                <w:rFonts w:cs="Calibri"/>
                <w:b/>
                <w:iCs/>
                <w:lang w:val="en-GB"/>
              </w:rPr>
              <w:t>∙°C]</w:t>
            </w:r>
          </w:p>
        </w:tc>
        <w:tc>
          <w:tcPr>
            <w:tcW w:w="851" w:type="dxa"/>
            <w:tcBorders>
              <w:top w:val="single" w:sz="4" w:space="0" w:color="auto"/>
              <w:bottom w:val="single" w:sz="4" w:space="0" w:color="auto"/>
            </w:tcBorders>
            <w:shd w:val="clear" w:color="auto" w:fill="auto"/>
            <w:tcMar>
              <w:top w:w="0" w:type="dxa"/>
              <w:left w:w="108" w:type="dxa"/>
              <w:bottom w:w="0" w:type="dxa"/>
              <w:right w:w="108" w:type="dxa"/>
            </w:tcMar>
          </w:tcPr>
          <w:p w14:paraId="6915BCAB" w14:textId="77777777" w:rsidR="00122F85" w:rsidRDefault="003D5F70">
            <w:pPr>
              <w:rPr>
                <w:b/>
                <w:iCs/>
                <w:lang w:val="en-GB"/>
              </w:rPr>
            </w:pPr>
            <w:r>
              <w:rPr>
                <w:b/>
                <w:iCs/>
                <w:lang w:val="en-GB"/>
              </w:rPr>
              <w:t>ML % (ash)</w:t>
            </w:r>
          </w:p>
        </w:tc>
        <w:tc>
          <w:tcPr>
            <w:tcW w:w="1134" w:type="dxa"/>
            <w:tcBorders>
              <w:top w:val="single" w:sz="4" w:space="0" w:color="auto"/>
              <w:bottom w:val="single" w:sz="4" w:space="0" w:color="auto"/>
            </w:tcBorders>
          </w:tcPr>
          <w:p w14:paraId="01F3CD28" w14:textId="77777777" w:rsidR="00122F85" w:rsidRDefault="003D5F70">
            <w:pPr>
              <w:jc w:val="center"/>
              <w:rPr>
                <w:b/>
                <w:iCs/>
                <w:lang w:val="en-GB"/>
              </w:rPr>
            </w:pPr>
            <w:r>
              <w:rPr>
                <w:b/>
                <w:iCs/>
                <w:lang w:val="en-GB"/>
              </w:rPr>
              <w:t>ML % (beech)</w:t>
            </w:r>
          </w:p>
        </w:tc>
        <w:tc>
          <w:tcPr>
            <w:tcW w:w="850" w:type="dxa"/>
            <w:tcBorders>
              <w:top w:val="single" w:sz="4" w:space="0" w:color="auto"/>
              <w:bottom w:val="single" w:sz="4" w:space="0" w:color="auto"/>
            </w:tcBorders>
          </w:tcPr>
          <w:p w14:paraId="011233A1" w14:textId="77777777" w:rsidR="00122F85" w:rsidRDefault="003D5F70">
            <w:pPr>
              <w:jc w:val="center"/>
              <w:rPr>
                <w:b/>
                <w:iCs/>
                <w:lang w:val="en-GB"/>
              </w:rPr>
            </w:pPr>
            <w:r>
              <w:rPr>
                <w:b/>
                <w:iCs/>
                <w:lang w:val="en-GB"/>
              </w:rPr>
              <w:t>ML % (oak)</w:t>
            </w:r>
          </w:p>
        </w:tc>
        <w:tc>
          <w:tcPr>
            <w:tcW w:w="1134" w:type="dxa"/>
            <w:tcBorders>
              <w:top w:val="single" w:sz="4" w:space="0" w:color="auto"/>
              <w:bottom w:val="single" w:sz="4" w:space="0" w:color="auto"/>
            </w:tcBorders>
          </w:tcPr>
          <w:p w14:paraId="32534E88" w14:textId="77777777" w:rsidR="00122F85" w:rsidRDefault="003D5F70">
            <w:pPr>
              <w:jc w:val="center"/>
              <w:rPr>
                <w:b/>
                <w:iCs/>
                <w:lang w:val="en-GB"/>
              </w:rPr>
            </w:pPr>
            <w:r>
              <w:rPr>
                <w:b/>
                <w:iCs/>
                <w:lang w:val="en-GB"/>
              </w:rPr>
              <w:t>ML % (Tulipier)</w:t>
            </w:r>
          </w:p>
        </w:tc>
        <w:tc>
          <w:tcPr>
            <w:tcW w:w="992" w:type="dxa"/>
            <w:tcBorders>
              <w:top w:val="single" w:sz="4" w:space="0" w:color="auto"/>
              <w:bottom w:val="single" w:sz="4" w:space="0" w:color="auto"/>
            </w:tcBorders>
          </w:tcPr>
          <w:p w14:paraId="40F873DE" w14:textId="77777777" w:rsidR="00122F85" w:rsidRDefault="003D5F70">
            <w:pPr>
              <w:jc w:val="center"/>
              <w:rPr>
                <w:b/>
                <w:iCs/>
                <w:lang w:val="en-GB"/>
              </w:rPr>
            </w:pPr>
            <w:r>
              <w:rPr>
                <w:b/>
                <w:iCs/>
                <w:lang w:val="en-GB"/>
              </w:rPr>
              <w:t>ML % (spruce)</w:t>
            </w:r>
          </w:p>
        </w:tc>
        <w:tc>
          <w:tcPr>
            <w:tcW w:w="993" w:type="dxa"/>
            <w:tcBorders>
              <w:top w:val="single" w:sz="4" w:space="0" w:color="auto"/>
              <w:bottom w:val="single" w:sz="4" w:space="0" w:color="auto"/>
            </w:tcBorders>
          </w:tcPr>
          <w:p w14:paraId="1681E8C0" w14:textId="77777777" w:rsidR="00122F85" w:rsidRDefault="003D5F70">
            <w:pPr>
              <w:jc w:val="center"/>
              <w:rPr>
                <w:b/>
                <w:iCs/>
                <w:lang w:val="en-GB"/>
              </w:rPr>
            </w:pPr>
            <w:r>
              <w:rPr>
                <w:b/>
                <w:iCs/>
                <w:lang w:val="en-GB"/>
              </w:rPr>
              <w:t>ML % (pine)</w:t>
            </w:r>
          </w:p>
        </w:tc>
      </w:tr>
      <w:tr w:rsidR="00122F85" w14:paraId="401B534C" w14:textId="77777777">
        <w:trPr>
          <w:jc w:val="center"/>
        </w:trPr>
        <w:tc>
          <w:tcPr>
            <w:tcW w:w="851" w:type="dxa"/>
            <w:tcBorders>
              <w:top w:val="single" w:sz="4" w:space="0" w:color="auto"/>
            </w:tcBorders>
            <w:shd w:val="clear" w:color="auto" w:fill="auto"/>
            <w:tcMar>
              <w:top w:w="0" w:type="dxa"/>
              <w:left w:w="108" w:type="dxa"/>
              <w:bottom w:w="0" w:type="dxa"/>
              <w:right w:w="108" w:type="dxa"/>
            </w:tcMar>
          </w:tcPr>
          <w:p w14:paraId="4E7A7332" w14:textId="77777777" w:rsidR="00122F85" w:rsidRDefault="003D5F70">
            <w:pPr>
              <w:jc w:val="center"/>
              <w:rPr>
                <w:b/>
                <w:lang w:val="en-GB"/>
              </w:rPr>
            </w:pPr>
            <w:r>
              <w:rPr>
                <w:b/>
                <w:lang w:val="en-GB"/>
              </w:rPr>
              <w:t>A</w:t>
            </w:r>
          </w:p>
        </w:tc>
        <w:tc>
          <w:tcPr>
            <w:tcW w:w="709" w:type="dxa"/>
            <w:tcBorders>
              <w:top w:val="single" w:sz="4" w:space="0" w:color="auto"/>
            </w:tcBorders>
            <w:shd w:val="clear" w:color="auto" w:fill="auto"/>
            <w:tcMar>
              <w:top w:w="0" w:type="dxa"/>
              <w:left w:w="108" w:type="dxa"/>
              <w:bottom w:w="0" w:type="dxa"/>
              <w:right w:w="108" w:type="dxa"/>
            </w:tcMar>
          </w:tcPr>
          <w:p w14:paraId="4AA234CF" w14:textId="77777777" w:rsidR="00122F85" w:rsidRDefault="003D5F70">
            <w:pPr>
              <w:jc w:val="center"/>
              <w:rPr>
                <w:lang w:val="en-GB"/>
              </w:rPr>
            </w:pPr>
            <w:r>
              <w:rPr>
                <w:lang w:val="en-GB"/>
              </w:rPr>
              <w:t>160</w:t>
            </w:r>
          </w:p>
        </w:tc>
        <w:tc>
          <w:tcPr>
            <w:tcW w:w="850" w:type="dxa"/>
            <w:tcBorders>
              <w:top w:val="single" w:sz="4" w:space="0" w:color="auto"/>
            </w:tcBorders>
            <w:shd w:val="clear" w:color="auto" w:fill="auto"/>
            <w:tcMar>
              <w:top w:w="0" w:type="dxa"/>
              <w:left w:w="108" w:type="dxa"/>
              <w:bottom w:w="0" w:type="dxa"/>
              <w:right w:w="108" w:type="dxa"/>
            </w:tcMar>
          </w:tcPr>
          <w:p w14:paraId="4BD0B567" w14:textId="77777777" w:rsidR="00122F85" w:rsidRDefault="003D5F70">
            <w:pPr>
              <w:jc w:val="center"/>
              <w:rPr>
                <w:lang w:val="en-GB"/>
              </w:rPr>
            </w:pPr>
            <w:r>
              <w:rPr>
                <w:lang w:val="en-GB"/>
              </w:rPr>
              <w:t>362</w:t>
            </w:r>
          </w:p>
        </w:tc>
        <w:tc>
          <w:tcPr>
            <w:tcW w:w="851" w:type="dxa"/>
            <w:tcBorders>
              <w:top w:val="single" w:sz="4" w:space="0" w:color="auto"/>
            </w:tcBorders>
            <w:shd w:val="clear" w:color="auto" w:fill="auto"/>
            <w:tcMar>
              <w:top w:w="0" w:type="dxa"/>
              <w:left w:w="108" w:type="dxa"/>
              <w:bottom w:w="0" w:type="dxa"/>
              <w:right w:w="108" w:type="dxa"/>
            </w:tcMar>
          </w:tcPr>
          <w:p w14:paraId="20CBFFD8" w14:textId="77777777" w:rsidR="00122F85" w:rsidRDefault="003D5F70">
            <w:pPr>
              <w:jc w:val="center"/>
              <w:rPr>
                <w:lang w:val="en-GB"/>
              </w:rPr>
            </w:pPr>
            <w:r>
              <w:rPr>
                <w:lang w:val="en-GB"/>
              </w:rPr>
              <w:t>0.8</w:t>
            </w:r>
          </w:p>
        </w:tc>
        <w:tc>
          <w:tcPr>
            <w:tcW w:w="1134" w:type="dxa"/>
            <w:tcBorders>
              <w:top w:val="single" w:sz="4" w:space="0" w:color="auto"/>
            </w:tcBorders>
          </w:tcPr>
          <w:p w14:paraId="4D22C9A0" w14:textId="77777777" w:rsidR="00122F85" w:rsidRDefault="003D5F70">
            <w:pPr>
              <w:jc w:val="center"/>
              <w:rPr>
                <w:lang w:val="en-GB"/>
              </w:rPr>
            </w:pPr>
            <w:r>
              <w:rPr>
                <w:lang w:val="en-GB"/>
              </w:rPr>
              <w:t>1.0</w:t>
            </w:r>
          </w:p>
        </w:tc>
        <w:tc>
          <w:tcPr>
            <w:tcW w:w="850" w:type="dxa"/>
            <w:tcBorders>
              <w:top w:val="single" w:sz="4" w:space="0" w:color="auto"/>
            </w:tcBorders>
          </w:tcPr>
          <w:p w14:paraId="4A9DD5E4" w14:textId="77777777" w:rsidR="00122F85" w:rsidRDefault="003D5F70">
            <w:pPr>
              <w:jc w:val="center"/>
              <w:rPr>
                <w:lang w:val="en-GB"/>
              </w:rPr>
            </w:pPr>
            <w:r>
              <w:rPr>
                <w:lang w:val="en-GB"/>
              </w:rPr>
              <w:t>2.1</w:t>
            </w:r>
          </w:p>
        </w:tc>
        <w:tc>
          <w:tcPr>
            <w:tcW w:w="1134" w:type="dxa"/>
            <w:tcBorders>
              <w:top w:val="single" w:sz="4" w:space="0" w:color="auto"/>
            </w:tcBorders>
          </w:tcPr>
          <w:p w14:paraId="242372B5" w14:textId="77777777" w:rsidR="00122F85" w:rsidRDefault="003D5F70">
            <w:pPr>
              <w:jc w:val="center"/>
              <w:rPr>
                <w:lang w:val="en-GB"/>
              </w:rPr>
            </w:pPr>
            <w:r>
              <w:rPr>
                <w:lang w:val="en-GB"/>
              </w:rPr>
              <w:t>1.1</w:t>
            </w:r>
          </w:p>
        </w:tc>
        <w:tc>
          <w:tcPr>
            <w:tcW w:w="992" w:type="dxa"/>
            <w:tcBorders>
              <w:top w:val="single" w:sz="4" w:space="0" w:color="auto"/>
            </w:tcBorders>
          </w:tcPr>
          <w:p w14:paraId="7EF44C49" w14:textId="77777777" w:rsidR="00122F85" w:rsidRDefault="003D5F70">
            <w:pPr>
              <w:jc w:val="center"/>
              <w:rPr>
                <w:lang w:val="en-GB"/>
              </w:rPr>
            </w:pPr>
            <w:r>
              <w:rPr>
                <w:lang w:val="en-GB"/>
              </w:rPr>
              <w:t>0.9</w:t>
            </w:r>
          </w:p>
        </w:tc>
        <w:tc>
          <w:tcPr>
            <w:tcW w:w="993" w:type="dxa"/>
            <w:tcBorders>
              <w:top w:val="single" w:sz="4" w:space="0" w:color="auto"/>
            </w:tcBorders>
          </w:tcPr>
          <w:p w14:paraId="7D1F981C" w14:textId="77777777" w:rsidR="00122F85" w:rsidRDefault="003D5F70">
            <w:pPr>
              <w:jc w:val="center"/>
              <w:rPr>
                <w:lang w:val="en-GB"/>
              </w:rPr>
            </w:pPr>
            <w:r>
              <w:rPr>
                <w:lang w:val="en-GB"/>
              </w:rPr>
              <w:t>1.0</w:t>
            </w:r>
          </w:p>
        </w:tc>
      </w:tr>
      <w:tr w:rsidR="00122F85" w14:paraId="0223DCCD" w14:textId="77777777">
        <w:trPr>
          <w:jc w:val="center"/>
        </w:trPr>
        <w:tc>
          <w:tcPr>
            <w:tcW w:w="851" w:type="dxa"/>
            <w:shd w:val="clear" w:color="auto" w:fill="auto"/>
            <w:tcMar>
              <w:top w:w="0" w:type="dxa"/>
              <w:left w:w="108" w:type="dxa"/>
              <w:bottom w:w="0" w:type="dxa"/>
              <w:right w:w="108" w:type="dxa"/>
            </w:tcMar>
          </w:tcPr>
          <w:p w14:paraId="73575E74" w14:textId="77777777" w:rsidR="00122F85" w:rsidRDefault="003D5F70">
            <w:pPr>
              <w:jc w:val="center"/>
              <w:rPr>
                <w:b/>
                <w:lang w:val="en-GB"/>
              </w:rPr>
            </w:pPr>
            <w:r>
              <w:rPr>
                <w:b/>
                <w:lang w:val="en-GB"/>
              </w:rPr>
              <w:t>B</w:t>
            </w:r>
          </w:p>
        </w:tc>
        <w:tc>
          <w:tcPr>
            <w:tcW w:w="709" w:type="dxa"/>
            <w:shd w:val="clear" w:color="auto" w:fill="auto"/>
            <w:tcMar>
              <w:top w:w="0" w:type="dxa"/>
              <w:left w:w="108" w:type="dxa"/>
              <w:bottom w:w="0" w:type="dxa"/>
              <w:right w:w="108" w:type="dxa"/>
            </w:tcMar>
          </w:tcPr>
          <w:p w14:paraId="79CF6BCB" w14:textId="77777777" w:rsidR="00122F85" w:rsidRDefault="003D5F70">
            <w:pPr>
              <w:jc w:val="center"/>
              <w:rPr>
                <w:lang w:val="en-GB"/>
              </w:rPr>
            </w:pPr>
            <w:r>
              <w:rPr>
                <w:lang w:val="en-GB"/>
              </w:rPr>
              <w:t>185</w:t>
            </w:r>
          </w:p>
        </w:tc>
        <w:tc>
          <w:tcPr>
            <w:tcW w:w="850" w:type="dxa"/>
            <w:shd w:val="clear" w:color="auto" w:fill="auto"/>
            <w:tcMar>
              <w:top w:w="0" w:type="dxa"/>
              <w:left w:w="108" w:type="dxa"/>
              <w:bottom w:w="0" w:type="dxa"/>
              <w:right w:w="108" w:type="dxa"/>
            </w:tcMar>
          </w:tcPr>
          <w:p w14:paraId="25673B11" w14:textId="77777777" w:rsidR="00122F85" w:rsidRDefault="003D5F70">
            <w:pPr>
              <w:jc w:val="center"/>
              <w:rPr>
                <w:lang w:val="en-GB"/>
              </w:rPr>
            </w:pPr>
            <w:r>
              <w:rPr>
                <w:lang w:val="en-GB"/>
              </w:rPr>
              <w:t>972</w:t>
            </w:r>
          </w:p>
        </w:tc>
        <w:tc>
          <w:tcPr>
            <w:tcW w:w="851" w:type="dxa"/>
            <w:shd w:val="clear" w:color="auto" w:fill="auto"/>
            <w:tcMar>
              <w:top w:w="0" w:type="dxa"/>
              <w:left w:w="108" w:type="dxa"/>
              <w:bottom w:w="0" w:type="dxa"/>
              <w:right w:w="108" w:type="dxa"/>
            </w:tcMar>
          </w:tcPr>
          <w:p w14:paraId="0451B972" w14:textId="77777777" w:rsidR="00122F85" w:rsidRDefault="003D5F70">
            <w:pPr>
              <w:jc w:val="center"/>
              <w:rPr>
                <w:lang w:val="en-GB"/>
              </w:rPr>
            </w:pPr>
            <w:r>
              <w:rPr>
                <w:lang w:val="en-GB"/>
              </w:rPr>
              <w:t>4.3</w:t>
            </w:r>
          </w:p>
        </w:tc>
        <w:tc>
          <w:tcPr>
            <w:tcW w:w="1134" w:type="dxa"/>
          </w:tcPr>
          <w:p w14:paraId="4E43FBB7" w14:textId="77777777" w:rsidR="00122F85" w:rsidRDefault="003D5F70">
            <w:pPr>
              <w:jc w:val="center"/>
              <w:rPr>
                <w:lang w:val="en-GB"/>
              </w:rPr>
            </w:pPr>
            <w:r>
              <w:rPr>
                <w:lang w:val="en-GB"/>
              </w:rPr>
              <w:t>3.1</w:t>
            </w:r>
          </w:p>
        </w:tc>
        <w:tc>
          <w:tcPr>
            <w:tcW w:w="850" w:type="dxa"/>
          </w:tcPr>
          <w:p w14:paraId="211C8941" w14:textId="77777777" w:rsidR="00122F85" w:rsidRDefault="003D5F70">
            <w:pPr>
              <w:jc w:val="center"/>
              <w:rPr>
                <w:lang w:val="en-GB"/>
              </w:rPr>
            </w:pPr>
            <w:r>
              <w:rPr>
                <w:lang w:val="en-GB"/>
              </w:rPr>
              <w:t>5.3</w:t>
            </w:r>
          </w:p>
        </w:tc>
        <w:tc>
          <w:tcPr>
            <w:tcW w:w="1134" w:type="dxa"/>
          </w:tcPr>
          <w:p w14:paraId="5ECA3A0F" w14:textId="77777777" w:rsidR="00122F85" w:rsidRDefault="003D5F70">
            <w:pPr>
              <w:jc w:val="center"/>
              <w:rPr>
                <w:lang w:val="en-GB"/>
              </w:rPr>
            </w:pPr>
            <w:r>
              <w:rPr>
                <w:lang w:val="en-GB"/>
              </w:rPr>
              <w:t>3.1</w:t>
            </w:r>
          </w:p>
        </w:tc>
        <w:tc>
          <w:tcPr>
            <w:tcW w:w="992" w:type="dxa"/>
          </w:tcPr>
          <w:p w14:paraId="0F223B2D" w14:textId="77777777" w:rsidR="00122F85" w:rsidRDefault="003D5F70">
            <w:pPr>
              <w:jc w:val="center"/>
              <w:rPr>
                <w:lang w:val="en-GB"/>
              </w:rPr>
            </w:pPr>
            <w:r>
              <w:rPr>
                <w:lang w:val="en-GB"/>
              </w:rPr>
              <w:t>2.1</w:t>
            </w:r>
          </w:p>
        </w:tc>
        <w:tc>
          <w:tcPr>
            <w:tcW w:w="993" w:type="dxa"/>
          </w:tcPr>
          <w:p w14:paraId="2F44EC24" w14:textId="77777777" w:rsidR="00122F85" w:rsidRDefault="003D5F70">
            <w:pPr>
              <w:jc w:val="center"/>
              <w:rPr>
                <w:lang w:val="en-GB"/>
              </w:rPr>
            </w:pPr>
            <w:r>
              <w:rPr>
                <w:lang w:val="en-GB"/>
              </w:rPr>
              <w:t>2.6</w:t>
            </w:r>
          </w:p>
        </w:tc>
      </w:tr>
      <w:tr w:rsidR="00122F85" w14:paraId="408B4B0A" w14:textId="77777777">
        <w:trPr>
          <w:jc w:val="center"/>
        </w:trPr>
        <w:tc>
          <w:tcPr>
            <w:tcW w:w="851" w:type="dxa"/>
            <w:shd w:val="clear" w:color="auto" w:fill="auto"/>
            <w:tcMar>
              <w:top w:w="0" w:type="dxa"/>
              <w:left w:w="108" w:type="dxa"/>
              <w:bottom w:w="0" w:type="dxa"/>
              <w:right w:w="108" w:type="dxa"/>
            </w:tcMar>
          </w:tcPr>
          <w:p w14:paraId="34DA4F08" w14:textId="77777777" w:rsidR="00122F85" w:rsidRDefault="003D5F70">
            <w:pPr>
              <w:jc w:val="center"/>
              <w:rPr>
                <w:b/>
                <w:lang w:val="en-GB"/>
              </w:rPr>
            </w:pPr>
            <w:r>
              <w:rPr>
                <w:b/>
                <w:lang w:val="en-GB"/>
              </w:rPr>
              <w:t>C</w:t>
            </w:r>
          </w:p>
        </w:tc>
        <w:tc>
          <w:tcPr>
            <w:tcW w:w="709" w:type="dxa"/>
            <w:shd w:val="clear" w:color="auto" w:fill="auto"/>
            <w:tcMar>
              <w:top w:w="0" w:type="dxa"/>
              <w:left w:w="108" w:type="dxa"/>
              <w:bottom w:w="0" w:type="dxa"/>
              <w:right w:w="108" w:type="dxa"/>
            </w:tcMar>
          </w:tcPr>
          <w:p w14:paraId="3616C658" w14:textId="77777777" w:rsidR="00122F85" w:rsidRDefault="003D5F70">
            <w:pPr>
              <w:jc w:val="center"/>
              <w:rPr>
                <w:lang w:val="en-GB"/>
              </w:rPr>
            </w:pPr>
            <w:r>
              <w:rPr>
                <w:lang w:val="en-GB"/>
              </w:rPr>
              <w:t>200</w:t>
            </w:r>
          </w:p>
        </w:tc>
        <w:tc>
          <w:tcPr>
            <w:tcW w:w="850" w:type="dxa"/>
            <w:shd w:val="clear" w:color="auto" w:fill="auto"/>
            <w:tcMar>
              <w:top w:w="0" w:type="dxa"/>
              <w:left w:w="108" w:type="dxa"/>
              <w:bottom w:w="0" w:type="dxa"/>
              <w:right w:w="108" w:type="dxa"/>
            </w:tcMar>
          </w:tcPr>
          <w:p w14:paraId="22C3DFAF" w14:textId="77777777" w:rsidR="00122F85" w:rsidRDefault="003D5F70">
            <w:pPr>
              <w:jc w:val="center"/>
              <w:rPr>
                <w:lang w:val="en-GB"/>
              </w:rPr>
            </w:pPr>
            <w:r>
              <w:rPr>
                <w:lang w:val="en-GB"/>
              </w:rPr>
              <w:t>1397</w:t>
            </w:r>
          </w:p>
        </w:tc>
        <w:tc>
          <w:tcPr>
            <w:tcW w:w="851" w:type="dxa"/>
            <w:shd w:val="clear" w:color="auto" w:fill="auto"/>
            <w:tcMar>
              <w:top w:w="0" w:type="dxa"/>
              <w:left w:w="108" w:type="dxa"/>
              <w:bottom w:w="0" w:type="dxa"/>
              <w:right w:w="108" w:type="dxa"/>
            </w:tcMar>
          </w:tcPr>
          <w:p w14:paraId="4F68FB83" w14:textId="77777777" w:rsidR="00122F85" w:rsidRDefault="003D5F70">
            <w:pPr>
              <w:jc w:val="center"/>
              <w:rPr>
                <w:lang w:val="en-GB"/>
              </w:rPr>
            </w:pPr>
            <w:r>
              <w:rPr>
                <w:lang w:val="en-GB"/>
              </w:rPr>
              <w:t>8.8</w:t>
            </w:r>
          </w:p>
        </w:tc>
        <w:tc>
          <w:tcPr>
            <w:tcW w:w="1134" w:type="dxa"/>
          </w:tcPr>
          <w:p w14:paraId="0985C09C" w14:textId="77777777" w:rsidR="00122F85" w:rsidRDefault="003D5F70">
            <w:pPr>
              <w:jc w:val="center"/>
              <w:rPr>
                <w:lang w:val="en-GB"/>
              </w:rPr>
            </w:pPr>
            <w:r>
              <w:rPr>
                <w:lang w:val="en-GB"/>
              </w:rPr>
              <w:t>6.7</w:t>
            </w:r>
          </w:p>
        </w:tc>
        <w:tc>
          <w:tcPr>
            <w:tcW w:w="850" w:type="dxa"/>
          </w:tcPr>
          <w:p w14:paraId="6B3AE95A" w14:textId="77777777" w:rsidR="00122F85" w:rsidRDefault="003D5F70">
            <w:pPr>
              <w:jc w:val="center"/>
              <w:rPr>
                <w:lang w:val="en-GB"/>
              </w:rPr>
            </w:pPr>
            <w:r>
              <w:rPr>
                <w:lang w:val="en-GB"/>
              </w:rPr>
              <w:t>8.7</w:t>
            </w:r>
          </w:p>
        </w:tc>
        <w:tc>
          <w:tcPr>
            <w:tcW w:w="1134" w:type="dxa"/>
          </w:tcPr>
          <w:p w14:paraId="4E1702E0" w14:textId="77777777" w:rsidR="00122F85" w:rsidRDefault="003D5F70">
            <w:pPr>
              <w:jc w:val="center"/>
              <w:rPr>
                <w:lang w:val="en-GB"/>
              </w:rPr>
            </w:pPr>
            <w:r>
              <w:rPr>
                <w:lang w:val="en-GB"/>
              </w:rPr>
              <w:t>6.2</w:t>
            </w:r>
          </w:p>
        </w:tc>
        <w:tc>
          <w:tcPr>
            <w:tcW w:w="992" w:type="dxa"/>
          </w:tcPr>
          <w:p w14:paraId="63D63BD7" w14:textId="77777777" w:rsidR="00122F85" w:rsidRDefault="003D5F70">
            <w:pPr>
              <w:jc w:val="center"/>
              <w:rPr>
                <w:lang w:val="en-GB"/>
              </w:rPr>
            </w:pPr>
            <w:r>
              <w:rPr>
                <w:lang w:val="en-GB"/>
              </w:rPr>
              <w:t>3.4</w:t>
            </w:r>
          </w:p>
        </w:tc>
        <w:tc>
          <w:tcPr>
            <w:tcW w:w="993" w:type="dxa"/>
          </w:tcPr>
          <w:p w14:paraId="2CC29999" w14:textId="77777777" w:rsidR="00122F85" w:rsidRDefault="003D5F70">
            <w:pPr>
              <w:jc w:val="center"/>
              <w:rPr>
                <w:lang w:val="en-GB"/>
              </w:rPr>
            </w:pPr>
            <w:r>
              <w:rPr>
                <w:lang w:val="en-GB"/>
              </w:rPr>
              <w:t>4.3</w:t>
            </w:r>
          </w:p>
        </w:tc>
      </w:tr>
      <w:tr w:rsidR="00122F85" w14:paraId="2C1E0DB6" w14:textId="77777777">
        <w:trPr>
          <w:jc w:val="center"/>
        </w:trPr>
        <w:tc>
          <w:tcPr>
            <w:tcW w:w="851" w:type="dxa"/>
            <w:shd w:val="clear" w:color="auto" w:fill="auto"/>
            <w:tcMar>
              <w:top w:w="0" w:type="dxa"/>
              <w:left w:w="108" w:type="dxa"/>
              <w:bottom w:w="0" w:type="dxa"/>
              <w:right w:w="108" w:type="dxa"/>
            </w:tcMar>
          </w:tcPr>
          <w:p w14:paraId="3ACA8AE9" w14:textId="77777777" w:rsidR="00122F85" w:rsidRDefault="003D5F70">
            <w:pPr>
              <w:jc w:val="center"/>
              <w:rPr>
                <w:b/>
                <w:lang w:val="en-GB"/>
              </w:rPr>
            </w:pPr>
            <w:r>
              <w:rPr>
                <w:b/>
                <w:lang w:val="en-GB"/>
              </w:rPr>
              <w:t>D</w:t>
            </w:r>
          </w:p>
        </w:tc>
        <w:tc>
          <w:tcPr>
            <w:tcW w:w="709" w:type="dxa"/>
            <w:shd w:val="clear" w:color="auto" w:fill="auto"/>
            <w:tcMar>
              <w:top w:w="0" w:type="dxa"/>
              <w:left w:w="108" w:type="dxa"/>
              <w:bottom w:w="0" w:type="dxa"/>
              <w:right w:w="108" w:type="dxa"/>
            </w:tcMar>
          </w:tcPr>
          <w:p w14:paraId="073FE30A" w14:textId="77777777" w:rsidR="00122F85" w:rsidRDefault="003D5F70">
            <w:pPr>
              <w:jc w:val="center"/>
              <w:rPr>
                <w:lang w:val="en-GB"/>
              </w:rPr>
            </w:pPr>
            <w:r>
              <w:rPr>
                <w:lang w:val="en-GB"/>
              </w:rPr>
              <w:t>215</w:t>
            </w:r>
          </w:p>
        </w:tc>
        <w:tc>
          <w:tcPr>
            <w:tcW w:w="850" w:type="dxa"/>
            <w:shd w:val="clear" w:color="auto" w:fill="auto"/>
            <w:tcMar>
              <w:top w:w="0" w:type="dxa"/>
              <w:left w:w="108" w:type="dxa"/>
              <w:bottom w:w="0" w:type="dxa"/>
              <w:right w:w="108" w:type="dxa"/>
            </w:tcMar>
          </w:tcPr>
          <w:p w14:paraId="38F5BAAB" w14:textId="77777777" w:rsidR="00122F85" w:rsidRDefault="003D5F70">
            <w:pPr>
              <w:jc w:val="center"/>
              <w:rPr>
                <w:lang w:val="en-GB"/>
              </w:rPr>
            </w:pPr>
            <w:r>
              <w:rPr>
                <w:lang w:val="en-GB"/>
              </w:rPr>
              <w:t>1858</w:t>
            </w:r>
          </w:p>
        </w:tc>
        <w:tc>
          <w:tcPr>
            <w:tcW w:w="851" w:type="dxa"/>
            <w:shd w:val="clear" w:color="auto" w:fill="auto"/>
            <w:tcMar>
              <w:top w:w="0" w:type="dxa"/>
              <w:left w:w="108" w:type="dxa"/>
              <w:bottom w:w="0" w:type="dxa"/>
              <w:right w:w="108" w:type="dxa"/>
            </w:tcMar>
          </w:tcPr>
          <w:p w14:paraId="46070943" w14:textId="77777777" w:rsidR="00122F85" w:rsidRDefault="003D5F70">
            <w:pPr>
              <w:jc w:val="center"/>
              <w:rPr>
                <w:lang w:val="en-GB"/>
              </w:rPr>
            </w:pPr>
            <w:r>
              <w:rPr>
                <w:lang w:val="en-GB"/>
              </w:rPr>
              <w:t>13.1</w:t>
            </w:r>
          </w:p>
        </w:tc>
        <w:tc>
          <w:tcPr>
            <w:tcW w:w="1134" w:type="dxa"/>
          </w:tcPr>
          <w:p w14:paraId="16FB32B3" w14:textId="77777777" w:rsidR="00122F85" w:rsidRDefault="003D5F70">
            <w:pPr>
              <w:jc w:val="center"/>
              <w:rPr>
                <w:lang w:val="en-GB"/>
              </w:rPr>
            </w:pPr>
            <w:r>
              <w:rPr>
                <w:lang w:val="en-GB"/>
              </w:rPr>
              <w:t>12.2</w:t>
            </w:r>
          </w:p>
        </w:tc>
        <w:tc>
          <w:tcPr>
            <w:tcW w:w="850" w:type="dxa"/>
          </w:tcPr>
          <w:p w14:paraId="3DD4AAF5" w14:textId="77777777" w:rsidR="00122F85" w:rsidRDefault="003D5F70">
            <w:pPr>
              <w:jc w:val="center"/>
              <w:rPr>
                <w:lang w:val="en-GB"/>
              </w:rPr>
            </w:pPr>
            <w:r>
              <w:rPr>
                <w:lang w:val="en-GB"/>
              </w:rPr>
              <w:t>11.9</w:t>
            </w:r>
          </w:p>
        </w:tc>
        <w:tc>
          <w:tcPr>
            <w:tcW w:w="1134" w:type="dxa"/>
          </w:tcPr>
          <w:p w14:paraId="22AF601B" w14:textId="77777777" w:rsidR="00122F85" w:rsidRDefault="003D5F70">
            <w:pPr>
              <w:jc w:val="center"/>
              <w:rPr>
                <w:lang w:val="en-GB"/>
              </w:rPr>
            </w:pPr>
            <w:r>
              <w:rPr>
                <w:lang w:val="en-GB"/>
              </w:rPr>
              <w:t>11.1</w:t>
            </w:r>
          </w:p>
        </w:tc>
        <w:tc>
          <w:tcPr>
            <w:tcW w:w="992" w:type="dxa"/>
          </w:tcPr>
          <w:p w14:paraId="3D06C340" w14:textId="77777777" w:rsidR="00122F85" w:rsidRDefault="003D5F70">
            <w:pPr>
              <w:jc w:val="center"/>
              <w:rPr>
                <w:lang w:val="en-GB"/>
              </w:rPr>
            </w:pPr>
            <w:r>
              <w:rPr>
                <w:lang w:val="en-GB"/>
              </w:rPr>
              <w:t>6.1</w:t>
            </w:r>
          </w:p>
        </w:tc>
        <w:tc>
          <w:tcPr>
            <w:tcW w:w="993" w:type="dxa"/>
          </w:tcPr>
          <w:p w14:paraId="477D471D" w14:textId="77777777" w:rsidR="00122F85" w:rsidRDefault="003D5F70">
            <w:pPr>
              <w:jc w:val="center"/>
              <w:rPr>
                <w:lang w:val="en-GB"/>
              </w:rPr>
            </w:pPr>
            <w:r>
              <w:rPr>
                <w:lang w:val="en-GB"/>
              </w:rPr>
              <w:t>6.6</w:t>
            </w:r>
          </w:p>
        </w:tc>
      </w:tr>
      <w:tr w:rsidR="00122F85" w14:paraId="58A1F323" w14:textId="77777777">
        <w:trPr>
          <w:jc w:val="center"/>
        </w:trPr>
        <w:tc>
          <w:tcPr>
            <w:tcW w:w="851" w:type="dxa"/>
            <w:shd w:val="clear" w:color="auto" w:fill="auto"/>
            <w:tcMar>
              <w:top w:w="0" w:type="dxa"/>
              <w:left w:w="108" w:type="dxa"/>
              <w:bottom w:w="0" w:type="dxa"/>
              <w:right w:w="108" w:type="dxa"/>
            </w:tcMar>
          </w:tcPr>
          <w:p w14:paraId="1800C15B" w14:textId="77777777" w:rsidR="00122F85" w:rsidRDefault="003D5F70">
            <w:pPr>
              <w:jc w:val="center"/>
              <w:rPr>
                <w:b/>
                <w:lang w:val="en-GB"/>
              </w:rPr>
            </w:pPr>
            <w:r>
              <w:rPr>
                <w:b/>
                <w:lang w:val="en-GB"/>
              </w:rPr>
              <w:t>E</w:t>
            </w:r>
          </w:p>
        </w:tc>
        <w:tc>
          <w:tcPr>
            <w:tcW w:w="709" w:type="dxa"/>
            <w:shd w:val="clear" w:color="auto" w:fill="auto"/>
            <w:tcMar>
              <w:top w:w="0" w:type="dxa"/>
              <w:left w:w="108" w:type="dxa"/>
              <w:bottom w:w="0" w:type="dxa"/>
              <w:right w:w="108" w:type="dxa"/>
            </w:tcMar>
          </w:tcPr>
          <w:p w14:paraId="70068969" w14:textId="77777777" w:rsidR="00122F85" w:rsidRDefault="003D5F70">
            <w:pPr>
              <w:jc w:val="center"/>
              <w:rPr>
                <w:lang w:val="en-GB"/>
              </w:rPr>
            </w:pPr>
            <w:r>
              <w:rPr>
                <w:lang w:val="en-GB"/>
              </w:rPr>
              <w:t>215</w:t>
            </w:r>
          </w:p>
        </w:tc>
        <w:tc>
          <w:tcPr>
            <w:tcW w:w="850" w:type="dxa"/>
            <w:shd w:val="clear" w:color="auto" w:fill="auto"/>
            <w:tcMar>
              <w:top w:w="0" w:type="dxa"/>
              <w:left w:w="108" w:type="dxa"/>
              <w:bottom w:w="0" w:type="dxa"/>
              <w:right w:w="108" w:type="dxa"/>
            </w:tcMar>
          </w:tcPr>
          <w:p w14:paraId="45D27AAE" w14:textId="77777777" w:rsidR="00122F85" w:rsidRDefault="003D5F70">
            <w:pPr>
              <w:jc w:val="center"/>
              <w:rPr>
                <w:lang w:val="en-GB"/>
              </w:rPr>
            </w:pPr>
            <w:r>
              <w:rPr>
                <w:lang w:val="en-GB"/>
              </w:rPr>
              <w:t>1307</w:t>
            </w:r>
          </w:p>
        </w:tc>
        <w:tc>
          <w:tcPr>
            <w:tcW w:w="851" w:type="dxa"/>
            <w:shd w:val="clear" w:color="auto" w:fill="auto"/>
            <w:tcMar>
              <w:top w:w="0" w:type="dxa"/>
              <w:left w:w="108" w:type="dxa"/>
              <w:bottom w:w="0" w:type="dxa"/>
              <w:right w:w="108" w:type="dxa"/>
            </w:tcMar>
          </w:tcPr>
          <w:p w14:paraId="36B930AA" w14:textId="77777777" w:rsidR="00122F85" w:rsidRDefault="003D5F70">
            <w:pPr>
              <w:jc w:val="center"/>
              <w:rPr>
                <w:lang w:val="en-GB"/>
              </w:rPr>
            </w:pPr>
            <w:r>
              <w:rPr>
                <w:lang w:val="en-GB"/>
              </w:rPr>
              <w:t>12.0</w:t>
            </w:r>
          </w:p>
        </w:tc>
        <w:tc>
          <w:tcPr>
            <w:tcW w:w="1134" w:type="dxa"/>
          </w:tcPr>
          <w:p w14:paraId="798CC039" w14:textId="77777777" w:rsidR="00122F85" w:rsidRDefault="003D5F70">
            <w:pPr>
              <w:jc w:val="center"/>
              <w:rPr>
                <w:lang w:val="en-GB"/>
              </w:rPr>
            </w:pPr>
            <w:r>
              <w:rPr>
                <w:lang w:val="en-GB"/>
              </w:rPr>
              <w:t>9.9</w:t>
            </w:r>
          </w:p>
        </w:tc>
        <w:tc>
          <w:tcPr>
            <w:tcW w:w="850" w:type="dxa"/>
          </w:tcPr>
          <w:p w14:paraId="27B73C13" w14:textId="77777777" w:rsidR="00122F85" w:rsidRDefault="003D5F70">
            <w:pPr>
              <w:jc w:val="center"/>
              <w:rPr>
                <w:lang w:val="en-GB"/>
              </w:rPr>
            </w:pPr>
            <w:r>
              <w:rPr>
                <w:lang w:val="en-GB"/>
              </w:rPr>
              <w:t>12.0</w:t>
            </w:r>
          </w:p>
        </w:tc>
        <w:tc>
          <w:tcPr>
            <w:tcW w:w="1134" w:type="dxa"/>
          </w:tcPr>
          <w:p w14:paraId="3B887800" w14:textId="77777777" w:rsidR="00122F85" w:rsidRDefault="003D5F70">
            <w:pPr>
              <w:jc w:val="center"/>
              <w:rPr>
                <w:lang w:val="en-GB"/>
              </w:rPr>
            </w:pPr>
            <w:r>
              <w:rPr>
                <w:lang w:val="en-GB"/>
              </w:rPr>
              <w:t>9.9</w:t>
            </w:r>
          </w:p>
        </w:tc>
        <w:tc>
          <w:tcPr>
            <w:tcW w:w="992" w:type="dxa"/>
          </w:tcPr>
          <w:p w14:paraId="7D705C55" w14:textId="77777777" w:rsidR="00122F85" w:rsidRDefault="003D5F70">
            <w:pPr>
              <w:jc w:val="center"/>
              <w:rPr>
                <w:lang w:val="en-GB"/>
              </w:rPr>
            </w:pPr>
            <w:r>
              <w:rPr>
                <w:lang w:val="en-GB"/>
              </w:rPr>
              <w:t>5.7</w:t>
            </w:r>
          </w:p>
        </w:tc>
        <w:tc>
          <w:tcPr>
            <w:tcW w:w="993" w:type="dxa"/>
          </w:tcPr>
          <w:p w14:paraId="5A931BE4" w14:textId="77777777" w:rsidR="00122F85" w:rsidRDefault="003D5F70">
            <w:pPr>
              <w:jc w:val="center"/>
              <w:rPr>
                <w:lang w:val="en-GB"/>
              </w:rPr>
            </w:pPr>
            <w:r>
              <w:rPr>
                <w:lang w:val="en-GB"/>
              </w:rPr>
              <w:t>5.7</w:t>
            </w:r>
          </w:p>
        </w:tc>
      </w:tr>
      <w:tr w:rsidR="00122F85" w14:paraId="0DB75380" w14:textId="77777777">
        <w:trPr>
          <w:jc w:val="center"/>
        </w:trPr>
        <w:tc>
          <w:tcPr>
            <w:tcW w:w="851" w:type="dxa"/>
            <w:tcBorders>
              <w:bottom w:val="single" w:sz="4" w:space="0" w:color="auto"/>
            </w:tcBorders>
            <w:shd w:val="clear" w:color="auto" w:fill="auto"/>
            <w:tcMar>
              <w:top w:w="0" w:type="dxa"/>
              <w:left w:w="108" w:type="dxa"/>
              <w:bottom w:w="0" w:type="dxa"/>
              <w:right w:w="108" w:type="dxa"/>
            </w:tcMar>
          </w:tcPr>
          <w:p w14:paraId="57F9627A" w14:textId="77777777" w:rsidR="00122F85" w:rsidRDefault="003D5F70">
            <w:pPr>
              <w:jc w:val="center"/>
              <w:rPr>
                <w:b/>
                <w:lang w:val="en-GB"/>
              </w:rPr>
            </w:pPr>
            <w:r>
              <w:rPr>
                <w:b/>
                <w:lang w:val="en-GB"/>
              </w:rPr>
              <w:t>TV</w:t>
            </w:r>
          </w:p>
        </w:tc>
        <w:tc>
          <w:tcPr>
            <w:tcW w:w="709" w:type="dxa"/>
            <w:tcBorders>
              <w:bottom w:val="single" w:sz="4" w:space="0" w:color="auto"/>
            </w:tcBorders>
            <w:shd w:val="clear" w:color="auto" w:fill="auto"/>
            <w:tcMar>
              <w:top w:w="0" w:type="dxa"/>
              <w:left w:w="108" w:type="dxa"/>
              <w:bottom w:w="0" w:type="dxa"/>
              <w:right w:w="108" w:type="dxa"/>
            </w:tcMar>
          </w:tcPr>
          <w:p w14:paraId="1543B738" w14:textId="77777777" w:rsidR="00122F85" w:rsidRDefault="003D5F70">
            <w:pPr>
              <w:jc w:val="center"/>
              <w:rPr>
                <w:lang w:val="en-GB"/>
              </w:rPr>
            </w:pPr>
            <w:r>
              <w:rPr>
                <w:lang w:val="en-GB"/>
              </w:rPr>
              <w:t>215</w:t>
            </w:r>
          </w:p>
        </w:tc>
        <w:tc>
          <w:tcPr>
            <w:tcW w:w="850" w:type="dxa"/>
            <w:tcBorders>
              <w:bottom w:val="single" w:sz="4" w:space="0" w:color="auto"/>
            </w:tcBorders>
            <w:shd w:val="clear" w:color="auto" w:fill="auto"/>
            <w:tcMar>
              <w:top w:w="0" w:type="dxa"/>
              <w:left w:w="108" w:type="dxa"/>
              <w:bottom w:w="0" w:type="dxa"/>
              <w:right w:w="108" w:type="dxa"/>
            </w:tcMar>
          </w:tcPr>
          <w:p w14:paraId="61D88B1A" w14:textId="77777777" w:rsidR="00122F85" w:rsidRDefault="003D5F70">
            <w:pPr>
              <w:jc w:val="center"/>
              <w:rPr>
                <w:lang w:val="en-GB"/>
              </w:rPr>
            </w:pPr>
            <w:r>
              <w:rPr>
                <w:lang w:val="en-GB"/>
              </w:rPr>
              <w:t>1845</w:t>
            </w:r>
          </w:p>
        </w:tc>
        <w:tc>
          <w:tcPr>
            <w:tcW w:w="851" w:type="dxa"/>
            <w:tcBorders>
              <w:bottom w:val="single" w:sz="4" w:space="0" w:color="auto"/>
            </w:tcBorders>
            <w:shd w:val="clear" w:color="auto" w:fill="auto"/>
            <w:tcMar>
              <w:top w:w="0" w:type="dxa"/>
              <w:left w:w="108" w:type="dxa"/>
              <w:bottom w:w="0" w:type="dxa"/>
              <w:right w:w="108" w:type="dxa"/>
            </w:tcMar>
          </w:tcPr>
          <w:p w14:paraId="4B5D4148" w14:textId="77777777" w:rsidR="00122F85" w:rsidRDefault="003D5F70">
            <w:pPr>
              <w:jc w:val="center"/>
              <w:rPr>
                <w:lang w:val="en-GB"/>
              </w:rPr>
            </w:pPr>
            <w:r>
              <w:rPr>
                <w:lang w:val="en-GB"/>
              </w:rPr>
              <w:t>12.6</w:t>
            </w:r>
          </w:p>
        </w:tc>
        <w:tc>
          <w:tcPr>
            <w:tcW w:w="1134" w:type="dxa"/>
            <w:tcBorders>
              <w:bottom w:val="single" w:sz="4" w:space="0" w:color="auto"/>
            </w:tcBorders>
          </w:tcPr>
          <w:p w14:paraId="539E4304" w14:textId="77777777" w:rsidR="00122F85" w:rsidRDefault="003D5F70">
            <w:pPr>
              <w:jc w:val="center"/>
              <w:rPr>
                <w:lang w:val="en-GB"/>
              </w:rPr>
            </w:pPr>
            <w:r>
              <w:rPr>
                <w:lang w:val="en-GB"/>
              </w:rPr>
              <w:t>10.0</w:t>
            </w:r>
          </w:p>
        </w:tc>
        <w:tc>
          <w:tcPr>
            <w:tcW w:w="850" w:type="dxa"/>
            <w:tcBorders>
              <w:bottom w:val="single" w:sz="4" w:space="0" w:color="auto"/>
            </w:tcBorders>
          </w:tcPr>
          <w:p w14:paraId="797DE4D0" w14:textId="77777777" w:rsidR="00122F85" w:rsidRDefault="003D5F70">
            <w:pPr>
              <w:jc w:val="center"/>
              <w:rPr>
                <w:lang w:val="en-GB"/>
              </w:rPr>
            </w:pPr>
            <w:r>
              <w:rPr>
                <w:lang w:val="en-GB"/>
              </w:rPr>
              <w:t>12.4</w:t>
            </w:r>
          </w:p>
        </w:tc>
        <w:tc>
          <w:tcPr>
            <w:tcW w:w="1134" w:type="dxa"/>
            <w:tcBorders>
              <w:bottom w:val="single" w:sz="4" w:space="0" w:color="auto"/>
            </w:tcBorders>
          </w:tcPr>
          <w:p w14:paraId="6DC00322" w14:textId="77777777" w:rsidR="00122F85" w:rsidRDefault="003D5F70">
            <w:pPr>
              <w:jc w:val="center"/>
              <w:rPr>
                <w:lang w:val="en-GB"/>
              </w:rPr>
            </w:pPr>
            <w:r>
              <w:rPr>
                <w:lang w:val="en-GB"/>
              </w:rPr>
              <w:t>10.0</w:t>
            </w:r>
          </w:p>
        </w:tc>
        <w:tc>
          <w:tcPr>
            <w:tcW w:w="992" w:type="dxa"/>
            <w:tcBorders>
              <w:bottom w:val="single" w:sz="4" w:space="0" w:color="auto"/>
            </w:tcBorders>
          </w:tcPr>
          <w:p w14:paraId="7A452E0D" w14:textId="77777777" w:rsidR="00122F85" w:rsidRDefault="003D5F70">
            <w:pPr>
              <w:jc w:val="center"/>
              <w:rPr>
                <w:lang w:val="en-GB"/>
              </w:rPr>
            </w:pPr>
            <w:r>
              <w:rPr>
                <w:lang w:val="en-GB"/>
              </w:rPr>
              <w:t>6.2</w:t>
            </w:r>
          </w:p>
        </w:tc>
        <w:tc>
          <w:tcPr>
            <w:tcW w:w="993" w:type="dxa"/>
            <w:tcBorders>
              <w:bottom w:val="single" w:sz="4" w:space="0" w:color="auto"/>
            </w:tcBorders>
          </w:tcPr>
          <w:p w14:paraId="4B04AEEB" w14:textId="77777777" w:rsidR="00122F85" w:rsidRDefault="003D5F70">
            <w:pPr>
              <w:jc w:val="center"/>
              <w:rPr>
                <w:lang w:val="en-GB"/>
              </w:rPr>
            </w:pPr>
            <w:r>
              <w:rPr>
                <w:lang w:val="en-GB"/>
              </w:rPr>
              <w:t>7.0</w:t>
            </w:r>
          </w:p>
        </w:tc>
      </w:tr>
    </w:tbl>
    <w:p w14:paraId="4D0B1F14" w14:textId="77777777" w:rsidR="00122F85" w:rsidRDefault="003D5F70">
      <w:pPr>
        <w:rPr>
          <w:lang w:val="en-GB"/>
        </w:rPr>
      </w:pPr>
      <w:r>
        <w:rPr>
          <w:b/>
          <w:lang w:val="en-GB"/>
        </w:rPr>
        <w:t xml:space="preserve">Table 1. </w:t>
      </w:r>
      <w:r>
        <w:rPr>
          <w:lang w:val="en-GB"/>
        </w:rPr>
        <w:t>Process parameters and final mass loss</w:t>
      </w:r>
    </w:p>
    <w:p w14:paraId="3EB42A57" w14:textId="77777777" w:rsidR="00122F85" w:rsidRDefault="00122F85">
      <w:pPr>
        <w:rPr>
          <w:b/>
          <w:lang w:val="en-GB"/>
        </w:rPr>
      </w:pPr>
    </w:p>
    <w:p w14:paraId="268B66A8" w14:textId="74DC2ABE" w:rsidR="00122F85" w:rsidRDefault="003D5F70">
      <w:pPr>
        <w:spacing w:line="360" w:lineRule="auto"/>
        <w:jc w:val="both"/>
        <w:rPr>
          <w:lang w:val="en-GB"/>
        </w:rPr>
      </w:pPr>
      <w:r>
        <w:rPr>
          <w:lang w:val="en-GB"/>
        </w:rPr>
        <w:t xml:space="preserve">The SW modification batches named A, B, C, D have different </w:t>
      </w:r>
      <w:r>
        <w:rPr>
          <w:i/>
          <w:lang w:val="en-GB"/>
        </w:rPr>
        <w:t>T</w:t>
      </w:r>
      <w:r>
        <w:rPr>
          <w:i/>
          <w:vertAlign w:val="subscript"/>
          <w:lang w:val="en-GB"/>
        </w:rPr>
        <w:t>max</w:t>
      </w:r>
      <w:r>
        <w:rPr>
          <w:i/>
          <w:lang w:val="en-GB"/>
        </w:rPr>
        <w:t xml:space="preserve"> </w:t>
      </w:r>
      <w:r>
        <w:rPr>
          <w:lang w:val="en-GB"/>
        </w:rPr>
        <w:t xml:space="preserve">(160°, 185°, 200° and 215° C). The SW modification batches named E has the same </w:t>
      </w:r>
      <w:r>
        <w:rPr>
          <w:i/>
          <w:lang w:val="en-GB"/>
        </w:rPr>
        <w:t>T</w:t>
      </w:r>
      <w:r>
        <w:rPr>
          <w:i/>
          <w:vertAlign w:val="subscript"/>
          <w:lang w:val="en-GB"/>
        </w:rPr>
        <w:t>max</w:t>
      </w:r>
      <w:r>
        <w:rPr>
          <w:lang w:val="en-GB"/>
        </w:rPr>
        <w:t xml:space="preserve"> of D (215° C) but faster </w:t>
      </w:r>
      <w:r>
        <w:rPr>
          <w:i/>
          <w:lang w:val="en-GB"/>
        </w:rPr>
        <w:t>T</w:t>
      </w:r>
      <w:r>
        <w:rPr>
          <w:lang w:val="en-GB"/>
        </w:rPr>
        <w:t xml:space="preserve"> rate during heating. The TV modification batch has the same </w:t>
      </w:r>
      <w:r>
        <w:rPr>
          <w:i/>
          <w:iCs/>
          <w:lang w:val="en-GB"/>
        </w:rPr>
        <w:t>T</w:t>
      </w:r>
      <w:r>
        <w:rPr>
          <w:i/>
          <w:iCs/>
          <w:vertAlign w:val="subscript"/>
          <w:lang w:val="en-GB"/>
        </w:rPr>
        <w:t>max</w:t>
      </w:r>
      <w:r>
        <w:rPr>
          <w:lang w:val="en-GB"/>
        </w:rPr>
        <w:t xml:space="preserve"> (215 °C) and same </w:t>
      </w:r>
      <w:r>
        <w:rPr>
          <w:i/>
          <w:lang w:val="en-GB"/>
        </w:rPr>
        <w:t>H</w:t>
      </w:r>
      <w:r>
        <w:rPr>
          <w:lang w:val="en-GB"/>
        </w:rPr>
        <w:t xml:space="preserve"> of SW batches named D.</w:t>
      </w:r>
      <w:r w:rsidR="00F353F0">
        <w:rPr>
          <w:lang w:val="en-GB"/>
        </w:rPr>
        <w:t xml:space="preserve"> </w:t>
      </w:r>
      <w:r>
        <w:rPr>
          <w:lang w:val="en-GB"/>
        </w:rPr>
        <w:t xml:space="preserve">In the framework of such experimental matrix, batches A, B, C, D allow to evaluate the influence of </w:t>
      </w:r>
      <w:r>
        <w:rPr>
          <w:i/>
          <w:iCs/>
          <w:lang w:val="en-GB"/>
        </w:rPr>
        <w:t>T</w:t>
      </w:r>
      <w:r>
        <w:rPr>
          <w:i/>
          <w:iCs/>
          <w:vertAlign w:val="subscript"/>
          <w:lang w:val="en-GB"/>
        </w:rPr>
        <w:t>max</w:t>
      </w:r>
      <w:r>
        <w:rPr>
          <w:lang w:val="en-GB"/>
        </w:rPr>
        <w:t>; batches D and E allow to evaluate the influence of time and batches D and TV the differences between SW and TV.</w:t>
      </w:r>
    </w:p>
    <w:p w14:paraId="4CEDF5D9" w14:textId="77777777" w:rsidR="00122F85" w:rsidRDefault="00122F85">
      <w:pPr>
        <w:jc w:val="both"/>
        <w:rPr>
          <w:b/>
          <w:lang w:val="en-GB"/>
        </w:rPr>
      </w:pPr>
    </w:p>
    <w:p w14:paraId="5FFD7639" w14:textId="77777777" w:rsidR="00122F85" w:rsidRDefault="003D5F70">
      <w:pPr>
        <w:jc w:val="both"/>
        <w:rPr>
          <w:b/>
          <w:lang w:val="en-GB"/>
        </w:rPr>
      </w:pPr>
      <w:r>
        <w:rPr>
          <w:b/>
          <w:lang w:val="en-GB"/>
        </w:rPr>
        <w:t>Wood sampling</w:t>
      </w:r>
    </w:p>
    <w:p w14:paraId="19AD543B" w14:textId="77777777" w:rsidR="00122F85" w:rsidRDefault="00122F85">
      <w:pPr>
        <w:jc w:val="both"/>
        <w:rPr>
          <w:b/>
          <w:lang w:val="en-GB"/>
        </w:rPr>
      </w:pPr>
    </w:p>
    <w:p w14:paraId="70D6A15A" w14:textId="34A1C09A" w:rsidR="001A300C" w:rsidRDefault="003D5F70">
      <w:pPr>
        <w:spacing w:line="360" w:lineRule="auto"/>
        <w:jc w:val="both"/>
        <w:rPr>
          <w:lang w:val="en-GB"/>
        </w:rPr>
      </w:pPr>
      <w:r>
        <w:rPr>
          <w:lang w:val="en-GB"/>
        </w:rPr>
        <w:t>Each treatment batch was composed of approximately 1 m</w:t>
      </w:r>
      <w:r>
        <w:rPr>
          <w:vertAlign w:val="superscript"/>
          <w:lang w:val="en-GB"/>
        </w:rPr>
        <w:t>3</w:t>
      </w:r>
      <w:r>
        <w:rPr>
          <w:lang w:val="en-GB"/>
        </w:rPr>
        <w:t xml:space="preserve"> of sawn boards (30</w:t>
      </w:r>
      <w:r w:rsidR="000202D5">
        <w:rPr>
          <w:lang w:val="en-GB"/>
        </w:rPr>
        <w:t>-m</w:t>
      </w:r>
      <w:r>
        <w:rPr>
          <w:lang w:val="en-GB"/>
        </w:rPr>
        <w:t xml:space="preserve">m thick) of </w:t>
      </w:r>
      <w:r w:rsidR="001A300C">
        <w:rPr>
          <w:lang w:val="en-GB"/>
        </w:rPr>
        <w:t xml:space="preserve">six species, which are among the most widespread on the TMW market for furniture, flooring, </w:t>
      </w:r>
      <w:r w:rsidR="00F342D5">
        <w:rPr>
          <w:lang w:val="en-GB"/>
        </w:rPr>
        <w:t>joinery,</w:t>
      </w:r>
      <w:r w:rsidR="001A300C">
        <w:rPr>
          <w:lang w:val="en-GB"/>
        </w:rPr>
        <w:t xml:space="preserve"> and decking</w:t>
      </w:r>
      <w:r w:rsidR="001F4783">
        <w:rPr>
          <w:lang w:val="en-GB"/>
        </w:rPr>
        <w:t xml:space="preserve"> (Table 2)</w:t>
      </w:r>
      <w:r w:rsidR="000202D5">
        <w:rPr>
          <w:lang w:val="en-GB"/>
        </w:rPr>
        <w:t>.</w:t>
      </w:r>
    </w:p>
    <w:p w14:paraId="1705B6C4" w14:textId="77777777" w:rsidR="009575B1" w:rsidRDefault="009575B1">
      <w:pPr>
        <w:spacing w:line="360" w:lineRule="auto"/>
        <w:jc w:val="both"/>
        <w:rPr>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1276"/>
        <w:gridCol w:w="1984"/>
        <w:gridCol w:w="930"/>
      </w:tblGrid>
      <w:tr w:rsidR="008741A2" w14:paraId="6304E92A" w14:textId="77777777" w:rsidTr="00EE1118">
        <w:tc>
          <w:tcPr>
            <w:tcW w:w="4106" w:type="dxa"/>
            <w:tcBorders>
              <w:top w:val="single" w:sz="4" w:space="0" w:color="auto"/>
              <w:bottom w:val="single" w:sz="4" w:space="0" w:color="auto"/>
            </w:tcBorders>
          </w:tcPr>
          <w:p w14:paraId="09E2E31D" w14:textId="5F82F505" w:rsidR="008741A2" w:rsidRPr="002B7350" w:rsidRDefault="001D7B7F" w:rsidP="00EE1118">
            <w:pPr>
              <w:jc w:val="both"/>
              <w:rPr>
                <w:b/>
                <w:bCs/>
                <w:lang w:val="en-GB"/>
              </w:rPr>
            </w:pPr>
            <w:r w:rsidRPr="002B7350">
              <w:rPr>
                <w:b/>
                <w:bCs/>
                <w:lang w:val="en-GB"/>
              </w:rPr>
              <w:lastRenderedPageBreak/>
              <w:t>Species</w:t>
            </w:r>
          </w:p>
        </w:tc>
        <w:tc>
          <w:tcPr>
            <w:tcW w:w="1276" w:type="dxa"/>
            <w:tcBorders>
              <w:top w:val="single" w:sz="4" w:space="0" w:color="auto"/>
              <w:bottom w:val="single" w:sz="4" w:space="0" w:color="auto"/>
            </w:tcBorders>
          </w:tcPr>
          <w:p w14:paraId="602F8B54" w14:textId="4F47D011" w:rsidR="008741A2" w:rsidRPr="002B7350" w:rsidRDefault="001D7B7F" w:rsidP="00EE1118">
            <w:pPr>
              <w:jc w:val="both"/>
              <w:rPr>
                <w:b/>
                <w:bCs/>
                <w:lang w:val="en-GB"/>
              </w:rPr>
            </w:pPr>
            <w:r w:rsidRPr="002B7350">
              <w:rPr>
                <w:b/>
                <w:bCs/>
                <w:lang w:val="en-GB"/>
              </w:rPr>
              <w:t>Species ID</w:t>
            </w:r>
          </w:p>
        </w:tc>
        <w:tc>
          <w:tcPr>
            <w:tcW w:w="1984" w:type="dxa"/>
            <w:tcBorders>
              <w:top w:val="single" w:sz="4" w:space="0" w:color="auto"/>
              <w:bottom w:val="single" w:sz="4" w:space="0" w:color="auto"/>
            </w:tcBorders>
          </w:tcPr>
          <w:p w14:paraId="1B00ED69" w14:textId="41C17F58" w:rsidR="008741A2" w:rsidRPr="002B7350" w:rsidRDefault="001D7B7F" w:rsidP="00EE1118">
            <w:pPr>
              <w:jc w:val="both"/>
              <w:rPr>
                <w:b/>
                <w:bCs/>
                <w:lang w:val="en-GB"/>
              </w:rPr>
            </w:pPr>
            <w:r w:rsidRPr="002B7350">
              <w:rPr>
                <w:b/>
                <w:bCs/>
                <w:lang w:val="en-GB"/>
              </w:rPr>
              <w:t>Oven</w:t>
            </w:r>
            <w:r w:rsidR="008E67D6" w:rsidRPr="002B7350">
              <w:rPr>
                <w:b/>
                <w:bCs/>
                <w:lang w:val="en-GB"/>
              </w:rPr>
              <w:t>-</w:t>
            </w:r>
            <w:r w:rsidRPr="002B7350">
              <w:rPr>
                <w:b/>
                <w:bCs/>
                <w:lang w:val="en-GB"/>
              </w:rPr>
              <w:t>dry density</w:t>
            </w:r>
          </w:p>
        </w:tc>
        <w:tc>
          <w:tcPr>
            <w:tcW w:w="930" w:type="dxa"/>
            <w:tcBorders>
              <w:top w:val="single" w:sz="4" w:space="0" w:color="auto"/>
              <w:bottom w:val="single" w:sz="4" w:space="0" w:color="auto"/>
            </w:tcBorders>
          </w:tcPr>
          <w:p w14:paraId="0DA08B19" w14:textId="23974924" w:rsidR="008741A2" w:rsidRPr="002B7350" w:rsidRDefault="008E67D6" w:rsidP="00EE1118">
            <w:pPr>
              <w:jc w:val="both"/>
              <w:rPr>
                <w:b/>
                <w:bCs/>
                <w:lang w:val="en-GB"/>
              </w:rPr>
            </w:pPr>
            <w:r w:rsidRPr="002B7350">
              <w:rPr>
                <w:b/>
                <w:bCs/>
                <w:lang w:val="en-GB"/>
              </w:rPr>
              <w:t>Notes</w:t>
            </w:r>
          </w:p>
        </w:tc>
      </w:tr>
      <w:tr w:rsidR="008741A2" w14:paraId="7BC9607B" w14:textId="77777777" w:rsidTr="00EE1118">
        <w:tc>
          <w:tcPr>
            <w:tcW w:w="4106" w:type="dxa"/>
            <w:tcBorders>
              <w:top w:val="single" w:sz="4" w:space="0" w:color="auto"/>
            </w:tcBorders>
          </w:tcPr>
          <w:p w14:paraId="4E71DB1B" w14:textId="55C56621" w:rsidR="008741A2" w:rsidRDefault="008E67D6">
            <w:pPr>
              <w:spacing w:line="360" w:lineRule="auto"/>
              <w:jc w:val="both"/>
              <w:rPr>
                <w:lang w:val="en-GB"/>
              </w:rPr>
            </w:pPr>
            <w:r>
              <w:rPr>
                <w:lang w:val="en-GB"/>
              </w:rPr>
              <w:t>Norway spruce (</w:t>
            </w:r>
            <w:r w:rsidRPr="002B7350">
              <w:rPr>
                <w:i/>
                <w:iCs/>
                <w:lang w:val="en-GB"/>
              </w:rPr>
              <w:t>Picea abies Karst</w:t>
            </w:r>
            <w:r>
              <w:rPr>
                <w:lang w:val="en-GB"/>
              </w:rPr>
              <w:t>)</w:t>
            </w:r>
          </w:p>
        </w:tc>
        <w:tc>
          <w:tcPr>
            <w:tcW w:w="1276" w:type="dxa"/>
            <w:tcBorders>
              <w:top w:val="single" w:sz="4" w:space="0" w:color="auto"/>
            </w:tcBorders>
          </w:tcPr>
          <w:p w14:paraId="00EF7567" w14:textId="6732C733" w:rsidR="008741A2" w:rsidRDefault="00CF5120">
            <w:pPr>
              <w:spacing w:line="360" w:lineRule="auto"/>
              <w:jc w:val="both"/>
              <w:rPr>
                <w:lang w:val="en-GB"/>
              </w:rPr>
            </w:pPr>
            <w:r>
              <w:rPr>
                <w:lang w:val="en-GB"/>
              </w:rPr>
              <w:t>AR</w:t>
            </w:r>
          </w:p>
        </w:tc>
        <w:tc>
          <w:tcPr>
            <w:tcW w:w="1984" w:type="dxa"/>
            <w:tcBorders>
              <w:top w:val="single" w:sz="4" w:space="0" w:color="auto"/>
            </w:tcBorders>
          </w:tcPr>
          <w:p w14:paraId="7D7794AE" w14:textId="39918D64" w:rsidR="008741A2" w:rsidRDefault="005761FC">
            <w:pPr>
              <w:spacing w:line="360" w:lineRule="auto"/>
              <w:jc w:val="both"/>
              <w:rPr>
                <w:lang w:val="en-GB"/>
              </w:rPr>
            </w:pPr>
            <w:r>
              <w:rPr>
                <w:lang w:val="en-GB"/>
              </w:rPr>
              <w:t>388 kg m</w:t>
            </w:r>
            <w:r>
              <w:rPr>
                <w:vertAlign w:val="superscript"/>
                <w:lang w:val="en-GB"/>
              </w:rPr>
              <w:t>-3</w:t>
            </w:r>
          </w:p>
        </w:tc>
        <w:tc>
          <w:tcPr>
            <w:tcW w:w="930" w:type="dxa"/>
            <w:tcBorders>
              <w:top w:val="single" w:sz="4" w:space="0" w:color="auto"/>
            </w:tcBorders>
          </w:tcPr>
          <w:p w14:paraId="6F8FD41D" w14:textId="03ADBADC" w:rsidR="008741A2" w:rsidRDefault="00CF5120">
            <w:pPr>
              <w:spacing w:line="360" w:lineRule="auto"/>
              <w:jc w:val="both"/>
              <w:rPr>
                <w:lang w:val="en-GB"/>
              </w:rPr>
            </w:pPr>
            <w:r>
              <w:rPr>
                <w:lang w:val="en-GB"/>
              </w:rPr>
              <w:t>S</w:t>
            </w:r>
          </w:p>
        </w:tc>
      </w:tr>
      <w:tr w:rsidR="008741A2" w14:paraId="78843EC2" w14:textId="77777777" w:rsidTr="00EE1118">
        <w:tc>
          <w:tcPr>
            <w:tcW w:w="4106" w:type="dxa"/>
          </w:tcPr>
          <w:p w14:paraId="778749F0" w14:textId="52D171FE" w:rsidR="008741A2" w:rsidRDefault="006108D3">
            <w:pPr>
              <w:spacing w:line="360" w:lineRule="auto"/>
              <w:jc w:val="both"/>
              <w:rPr>
                <w:lang w:val="en-GB"/>
              </w:rPr>
            </w:pPr>
            <w:r>
              <w:rPr>
                <w:lang w:val="en-GB"/>
              </w:rPr>
              <w:t>Scots pine (</w:t>
            </w:r>
            <w:r w:rsidRPr="002B7350">
              <w:rPr>
                <w:i/>
                <w:iCs/>
                <w:lang w:val="en-GB"/>
              </w:rPr>
              <w:t>Pinus sylvestris L.</w:t>
            </w:r>
            <w:r>
              <w:rPr>
                <w:lang w:val="en-GB"/>
              </w:rPr>
              <w:t>)</w:t>
            </w:r>
          </w:p>
        </w:tc>
        <w:tc>
          <w:tcPr>
            <w:tcW w:w="1276" w:type="dxa"/>
          </w:tcPr>
          <w:p w14:paraId="1C2C74C0" w14:textId="7C31A87A" w:rsidR="008741A2" w:rsidRDefault="00CF5120">
            <w:pPr>
              <w:spacing w:line="360" w:lineRule="auto"/>
              <w:jc w:val="both"/>
              <w:rPr>
                <w:lang w:val="en-GB"/>
              </w:rPr>
            </w:pPr>
            <w:r>
              <w:rPr>
                <w:lang w:val="en-GB"/>
              </w:rPr>
              <w:t>PS</w:t>
            </w:r>
          </w:p>
        </w:tc>
        <w:tc>
          <w:tcPr>
            <w:tcW w:w="1984" w:type="dxa"/>
          </w:tcPr>
          <w:p w14:paraId="7087A743" w14:textId="6EBF9409" w:rsidR="008741A2" w:rsidRDefault="005761FC">
            <w:pPr>
              <w:spacing w:line="360" w:lineRule="auto"/>
              <w:jc w:val="both"/>
              <w:rPr>
                <w:lang w:val="en-GB"/>
              </w:rPr>
            </w:pPr>
            <w:r>
              <w:rPr>
                <w:lang w:val="en-GB"/>
              </w:rPr>
              <w:t>592 kg m</w:t>
            </w:r>
            <w:r>
              <w:rPr>
                <w:vertAlign w:val="superscript"/>
                <w:lang w:val="en-GB"/>
              </w:rPr>
              <w:t>-3</w:t>
            </w:r>
          </w:p>
        </w:tc>
        <w:tc>
          <w:tcPr>
            <w:tcW w:w="930" w:type="dxa"/>
          </w:tcPr>
          <w:p w14:paraId="1F28BA6A" w14:textId="5C24809A" w:rsidR="008741A2" w:rsidRDefault="00CF5120">
            <w:pPr>
              <w:spacing w:line="360" w:lineRule="auto"/>
              <w:jc w:val="both"/>
              <w:rPr>
                <w:lang w:val="en-GB"/>
              </w:rPr>
            </w:pPr>
            <w:r>
              <w:rPr>
                <w:lang w:val="en-GB"/>
              </w:rPr>
              <w:t>S, d</w:t>
            </w:r>
          </w:p>
        </w:tc>
      </w:tr>
      <w:tr w:rsidR="008741A2" w14:paraId="26621D44" w14:textId="77777777" w:rsidTr="00EE1118">
        <w:tc>
          <w:tcPr>
            <w:tcW w:w="4106" w:type="dxa"/>
          </w:tcPr>
          <w:p w14:paraId="046898E8" w14:textId="4AD521EB" w:rsidR="008741A2" w:rsidRDefault="006108D3">
            <w:pPr>
              <w:spacing w:line="360" w:lineRule="auto"/>
              <w:jc w:val="both"/>
              <w:rPr>
                <w:lang w:val="en-GB"/>
              </w:rPr>
            </w:pPr>
            <w:r>
              <w:rPr>
                <w:lang w:val="en-GB"/>
              </w:rPr>
              <w:t xml:space="preserve">Beech </w:t>
            </w:r>
            <w:r w:rsidR="00004150">
              <w:rPr>
                <w:lang w:val="en-GB"/>
              </w:rPr>
              <w:t>(</w:t>
            </w:r>
            <w:r w:rsidR="00004150" w:rsidRPr="002B7350">
              <w:rPr>
                <w:i/>
                <w:iCs/>
                <w:lang w:val="en-GB"/>
              </w:rPr>
              <w:t>Fagus selvatica L.</w:t>
            </w:r>
            <w:r w:rsidR="00004150">
              <w:rPr>
                <w:lang w:val="en-GB"/>
              </w:rPr>
              <w:t>)</w:t>
            </w:r>
          </w:p>
        </w:tc>
        <w:tc>
          <w:tcPr>
            <w:tcW w:w="1276" w:type="dxa"/>
          </w:tcPr>
          <w:p w14:paraId="3BBEBCA5" w14:textId="1D10A391" w:rsidR="008741A2" w:rsidRDefault="00CF5120">
            <w:pPr>
              <w:spacing w:line="360" w:lineRule="auto"/>
              <w:jc w:val="both"/>
              <w:rPr>
                <w:lang w:val="en-GB"/>
              </w:rPr>
            </w:pPr>
            <w:r>
              <w:rPr>
                <w:lang w:val="en-GB"/>
              </w:rPr>
              <w:t>FG</w:t>
            </w:r>
          </w:p>
        </w:tc>
        <w:tc>
          <w:tcPr>
            <w:tcW w:w="1984" w:type="dxa"/>
          </w:tcPr>
          <w:p w14:paraId="1F57E0E8" w14:textId="5F7A10E1" w:rsidR="008741A2" w:rsidRDefault="005761FC">
            <w:pPr>
              <w:spacing w:line="360" w:lineRule="auto"/>
              <w:jc w:val="both"/>
              <w:rPr>
                <w:lang w:val="en-GB"/>
              </w:rPr>
            </w:pPr>
            <w:r>
              <w:rPr>
                <w:lang w:val="en-GB"/>
              </w:rPr>
              <w:t>690 kg m</w:t>
            </w:r>
            <w:r>
              <w:rPr>
                <w:vertAlign w:val="superscript"/>
                <w:lang w:val="en-GB"/>
              </w:rPr>
              <w:t>-3</w:t>
            </w:r>
          </w:p>
        </w:tc>
        <w:tc>
          <w:tcPr>
            <w:tcW w:w="930" w:type="dxa"/>
          </w:tcPr>
          <w:p w14:paraId="095BEB64" w14:textId="7F666C82" w:rsidR="008741A2" w:rsidRDefault="00CF5120">
            <w:pPr>
              <w:spacing w:line="360" w:lineRule="auto"/>
              <w:jc w:val="both"/>
              <w:rPr>
                <w:lang w:val="en-GB"/>
              </w:rPr>
            </w:pPr>
            <w:r>
              <w:rPr>
                <w:lang w:val="en-GB"/>
              </w:rPr>
              <w:t>H</w:t>
            </w:r>
          </w:p>
        </w:tc>
      </w:tr>
      <w:tr w:rsidR="008741A2" w14:paraId="5C1F62A8" w14:textId="77777777" w:rsidTr="00EE1118">
        <w:tc>
          <w:tcPr>
            <w:tcW w:w="4106" w:type="dxa"/>
          </w:tcPr>
          <w:p w14:paraId="1D098D8D" w14:textId="3565FDF4" w:rsidR="008741A2" w:rsidRDefault="00004150">
            <w:pPr>
              <w:spacing w:line="360" w:lineRule="auto"/>
              <w:jc w:val="both"/>
              <w:rPr>
                <w:lang w:val="en-GB"/>
              </w:rPr>
            </w:pPr>
            <w:r>
              <w:rPr>
                <w:lang w:val="en-GB"/>
              </w:rPr>
              <w:t>Ash (</w:t>
            </w:r>
            <w:r w:rsidRPr="002B7350">
              <w:rPr>
                <w:i/>
                <w:iCs/>
                <w:lang w:val="en-GB"/>
              </w:rPr>
              <w:t>Fraxinus</w:t>
            </w:r>
            <w:r>
              <w:rPr>
                <w:lang w:val="en-GB"/>
              </w:rPr>
              <w:t xml:space="preserve"> spp.)</w:t>
            </w:r>
          </w:p>
        </w:tc>
        <w:tc>
          <w:tcPr>
            <w:tcW w:w="1276" w:type="dxa"/>
          </w:tcPr>
          <w:p w14:paraId="12881784" w14:textId="4B77AD85" w:rsidR="008741A2" w:rsidRDefault="00CF5120">
            <w:pPr>
              <w:spacing w:line="360" w:lineRule="auto"/>
              <w:jc w:val="both"/>
              <w:rPr>
                <w:lang w:val="en-GB"/>
              </w:rPr>
            </w:pPr>
            <w:r>
              <w:rPr>
                <w:lang w:val="en-GB"/>
              </w:rPr>
              <w:t>FR</w:t>
            </w:r>
          </w:p>
        </w:tc>
        <w:tc>
          <w:tcPr>
            <w:tcW w:w="1984" w:type="dxa"/>
          </w:tcPr>
          <w:p w14:paraId="09FAECC3" w14:textId="68CFE138" w:rsidR="008741A2" w:rsidRDefault="005761FC">
            <w:pPr>
              <w:spacing w:line="360" w:lineRule="auto"/>
              <w:jc w:val="both"/>
              <w:rPr>
                <w:lang w:val="en-GB"/>
              </w:rPr>
            </w:pPr>
            <w:r>
              <w:rPr>
                <w:lang w:val="en-GB"/>
              </w:rPr>
              <w:t>707 kg m</w:t>
            </w:r>
            <w:r>
              <w:rPr>
                <w:vertAlign w:val="superscript"/>
                <w:lang w:val="en-GB"/>
              </w:rPr>
              <w:t>-3</w:t>
            </w:r>
          </w:p>
        </w:tc>
        <w:tc>
          <w:tcPr>
            <w:tcW w:w="930" w:type="dxa"/>
          </w:tcPr>
          <w:p w14:paraId="7A59A517" w14:textId="175DABE5" w:rsidR="008741A2" w:rsidRDefault="00CF5120">
            <w:pPr>
              <w:spacing w:line="360" w:lineRule="auto"/>
              <w:jc w:val="both"/>
              <w:rPr>
                <w:lang w:val="en-GB"/>
              </w:rPr>
            </w:pPr>
            <w:r>
              <w:rPr>
                <w:lang w:val="en-GB"/>
              </w:rPr>
              <w:t>H</w:t>
            </w:r>
          </w:p>
        </w:tc>
      </w:tr>
      <w:tr w:rsidR="008741A2" w14:paraId="4F8FD8E2" w14:textId="77777777" w:rsidTr="00EE1118">
        <w:tc>
          <w:tcPr>
            <w:tcW w:w="4106" w:type="dxa"/>
          </w:tcPr>
          <w:p w14:paraId="3B18B840" w14:textId="6F275B37" w:rsidR="008741A2" w:rsidRDefault="00004150">
            <w:pPr>
              <w:spacing w:line="360" w:lineRule="auto"/>
              <w:jc w:val="both"/>
              <w:rPr>
                <w:lang w:val="en-GB"/>
              </w:rPr>
            </w:pPr>
            <w:r>
              <w:rPr>
                <w:lang w:val="en-GB"/>
              </w:rPr>
              <w:t>Oak (</w:t>
            </w:r>
            <w:r w:rsidRPr="002B7350">
              <w:rPr>
                <w:i/>
                <w:iCs/>
                <w:lang w:val="en-GB"/>
              </w:rPr>
              <w:t>Quercus</w:t>
            </w:r>
            <w:r>
              <w:rPr>
                <w:lang w:val="en-GB"/>
              </w:rPr>
              <w:t xml:space="preserve"> </w:t>
            </w:r>
            <w:r w:rsidR="00CF5120">
              <w:rPr>
                <w:lang w:val="en-GB"/>
              </w:rPr>
              <w:t>spp.)</w:t>
            </w:r>
          </w:p>
        </w:tc>
        <w:tc>
          <w:tcPr>
            <w:tcW w:w="1276" w:type="dxa"/>
          </w:tcPr>
          <w:p w14:paraId="3E613456" w14:textId="01EB3240" w:rsidR="008741A2" w:rsidRDefault="00CF5120">
            <w:pPr>
              <w:spacing w:line="360" w:lineRule="auto"/>
              <w:jc w:val="both"/>
              <w:rPr>
                <w:lang w:val="en-GB"/>
              </w:rPr>
            </w:pPr>
            <w:r>
              <w:rPr>
                <w:lang w:val="en-GB"/>
              </w:rPr>
              <w:t>RV</w:t>
            </w:r>
          </w:p>
        </w:tc>
        <w:tc>
          <w:tcPr>
            <w:tcW w:w="1984" w:type="dxa"/>
          </w:tcPr>
          <w:p w14:paraId="32218CDA" w14:textId="41DD2BFD" w:rsidR="008741A2" w:rsidRDefault="005761FC">
            <w:pPr>
              <w:spacing w:line="360" w:lineRule="auto"/>
              <w:jc w:val="both"/>
              <w:rPr>
                <w:lang w:val="en-GB"/>
              </w:rPr>
            </w:pPr>
            <w:r>
              <w:rPr>
                <w:lang w:val="en-GB"/>
              </w:rPr>
              <w:t>745 kg m</w:t>
            </w:r>
            <w:r>
              <w:rPr>
                <w:vertAlign w:val="superscript"/>
                <w:lang w:val="en-GB"/>
              </w:rPr>
              <w:t>-3</w:t>
            </w:r>
          </w:p>
        </w:tc>
        <w:tc>
          <w:tcPr>
            <w:tcW w:w="930" w:type="dxa"/>
          </w:tcPr>
          <w:p w14:paraId="4C255738" w14:textId="63EF12E1" w:rsidR="008741A2" w:rsidRDefault="00CF5120">
            <w:pPr>
              <w:spacing w:line="360" w:lineRule="auto"/>
              <w:jc w:val="both"/>
              <w:rPr>
                <w:lang w:val="en-GB"/>
              </w:rPr>
            </w:pPr>
            <w:r>
              <w:rPr>
                <w:lang w:val="en-GB"/>
              </w:rPr>
              <w:t>H, d</w:t>
            </w:r>
          </w:p>
        </w:tc>
      </w:tr>
      <w:tr w:rsidR="008741A2" w14:paraId="145F7DF8" w14:textId="77777777" w:rsidTr="00EE1118">
        <w:tc>
          <w:tcPr>
            <w:tcW w:w="4106" w:type="dxa"/>
            <w:tcBorders>
              <w:bottom w:val="single" w:sz="4" w:space="0" w:color="auto"/>
            </w:tcBorders>
          </w:tcPr>
          <w:p w14:paraId="5C803243" w14:textId="0685F44B" w:rsidR="008741A2" w:rsidRDefault="00CF5120">
            <w:pPr>
              <w:spacing w:line="360" w:lineRule="auto"/>
              <w:jc w:val="both"/>
              <w:rPr>
                <w:lang w:val="en-GB"/>
              </w:rPr>
            </w:pPr>
            <w:r>
              <w:rPr>
                <w:lang w:val="en-GB"/>
              </w:rPr>
              <w:t>Tulipier (</w:t>
            </w:r>
            <w:r w:rsidRPr="002B7350">
              <w:rPr>
                <w:i/>
                <w:iCs/>
                <w:lang w:val="en-GB"/>
              </w:rPr>
              <w:t>Liriodendron tulipifera</w:t>
            </w:r>
            <w:r>
              <w:rPr>
                <w:lang w:val="en-GB"/>
              </w:rPr>
              <w:t>)</w:t>
            </w:r>
          </w:p>
        </w:tc>
        <w:tc>
          <w:tcPr>
            <w:tcW w:w="1276" w:type="dxa"/>
            <w:tcBorders>
              <w:bottom w:val="single" w:sz="4" w:space="0" w:color="auto"/>
            </w:tcBorders>
          </w:tcPr>
          <w:p w14:paraId="3D151E37" w14:textId="23F63FF8" w:rsidR="008741A2" w:rsidRDefault="00CF5120">
            <w:pPr>
              <w:spacing w:line="360" w:lineRule="auto"/>
              <w:jc w:val="both"/>
              <w:rPr>
                <w:lang w:val="en-GB"/>
              </w:rPr>
            </w:pPr>
            <w:r>
              <w:rPr>
                <w:lang w:val="en-GB"/>
              </w:rPr>
              <w:t>TP</w:t>
            </w:r>
          </w:p>
        </w:tc>
        <w:tc>
          <w:tcPr>
            <w:tcW w:w="1984" w:type="dxa"/>
            <w:tcBorders>
              <w:bottom w:val="single" w:sz="4" w:space="0" w:color="auto"/>
            </w:tcBorders>
          </w:tcPr>
          <w:p w14:paraId="6E34F0B4" w14:textId="717F09FB" w:rsidR="008741A2" w:rsidRDefault="005761FC">
            <w:pPr>
              <w:spacing w:line="360" w:lineRule="auto"/>
              <w:jc w:val="both"/>
              <w:rPr>
                <w:lang w:val="en-GB"/>
              </w:rPr>
            </w:pPr>
            <w:r>
              <w:rPr>
                <w:lang w:val="en-GB"/>
              </w:rPr>
              <w:t>537 kg m</w:t>
            </w:r>
            <w:r>
              <w:rPr>
                <w:vertAlign w:val="superscript"/>
                <w:lang w:val="en-GB"/>
              </w:rPr>
              <w:t>-3</w:t>
            </w:r>
          </w:p>
        </w:tc>
        <w:tc>
          <w:tcPr>
            <w:tcW w:w="930" w:type="dxa"/>
            <w:tcBorders>
              <w:bottom w:val="single" w:sz="4" w:space="0" w:color="auto"/>
            </w:tcBorders>
          </w:tcPr>
          <w:p w14:paraId="00032999" w14:textId="21956E45" w:rsidR="008741A2" w:rsidRDefault="00CF5120">
            <w:pPr>
              <w:spacing w:line="360" w:lineRule="auto"/>
              <w:jc w:val="both"/>
              <w:rPr>
                <w:lang w:val="en-GB"/>
              </w:rPr>
            </w:pPr>
            <w:r>
              <w:rPr>
                <w:lang w:val="en-GB"/>
              </w:rPr>
              <w:t>H, d</w:t>
            </w:r>
          </w:p>
        </w:tc>
      </w:tr>
    </w:tbl>
    <w:p w14:paraId="29852803" w14:textId="33507B4B" w:rsidR="00122F85" w:rsidRDefault="00016575" w:rsidP="009575B1">
      <w:pPr>
        <w:rPr>
          <w:lang w:val="en-GB"/>
        </w:rPr>
      </w:pPr>
      <w:r>
        <w:rPr>
          <w:b/>
          <w:lang w:val="en-GB"/>
        </w:rPr>
        <w:t xml:space="preserve">Table 2. </w:t>
      </w:r>
      <w:r>
        <w:rPr>
          <w:lang w:val="en-GB"/>
        </w:rPr>
        <w:t>Tree species of origin</w:t>
      </w:r>
      <w:r w:rsidR="009575B1">
        <w:rPr>
          <w:lang w:val="en-GB"/>
        </w:rPr>
        <w:t xml:space="preserve"> of the TMW samples </w:t>
      </w:r>
      <w:r w:rsidR="003D5F70">
        <w:rPr>
          <w:lang w:val="en-GB"/>
        </w:rPr>
        <w:t>(S: softwood; H: hardwood, d: species with differentiated heartwood</w:t>
      </w:r>
      <w:r w:rsidR="00E23157" w:rsidRPr="00AB4304">
        <w:rPr>
          <w:lang w:val="en-GB"/>
        </w:rPr>
        <w:t>)</w:t>
      </w:r>
      <w:r w:rsidR="009575B1">
        <w:rPr>
          <w:lang w:val="en-GB"/>
        </w:rPr>
        <w:t>.</w:t>
      </w:r>
    </w:p>
    <w:p w14:paraId="08472144" w14:textId="77777777" w:rsidR="00122F85" w:rsidRDefault="00122F85">
      <w:pPr>
        <w:spacing w:line="360" w:lineRule="auto"/>
        <w:jc w:val="both"/>
        <w:rPr>
          <w:lang w:val="en-GB"/>
        </w:rPr>
      </w:pPr>
    </w:p>
    <w:p w14:paraId="2BD3D963" w14:textId="77777777" w:rsidR="00122F85" w:rsidRDefault="003D5F70">
      <w:pPr>
        <w:spacing w:line="360" w:lineRule="auto"/>
        <w:jc w:val="both"/>
        <w:rPr>
          <w:lang w:val="en-GB"/>
        </w:rPr>
      </w:pPr>
      <w:r>
        <w:rPr>
          <w:lang w:val="en-GB"/>
        </w:rPr>
        <w:t>A portion of the board of each species was kept untreated as a reference.</w:t>
      </w:r>
    </w:p>
    <w:p w14:paraId="0F5FBCFA" w14:textId="3E89FF5E" w:rsidR="00DF28D3" w:rsidRDefault="003D5F70">
      <w:pPr>
        <w:spacing w:line="360" w:lineRule="auto"/>
        <w:jc w:val="both"/>
        <w:rPr>
          <w:lang w:val="en-GB"/>
        </w:rPr>
      </w:pPr>
      <w:r>
        <w:rPr>
          <w:lang w:val="en-GB"/>
        </w:rPr>
        <w:t>The mass of each treated board was measured oven dried before the treatment (M</w:t>
      </w:r>
      <w:r>
        <w:rPr>
          <w:vertAlign w:val="subscript"/>
          <w:lang w:val="en-GB"/>
        </w:rPr>
        <w:t>0</w:t>
      </w:r>
      <w:r>
        <w:rPr>
          <w:lang w:val="en-GB"/>
        </w:rPr>
        <w:t>) and after the treatment (M</w:t>
      </w:r>
      <w:r>
        <w:rPr>
          <w:vertAlign w:val="subscript"/>
          <w:lang w:val="en-GB"/>
        </w:rPr>
        <w:t>ht</w:t>
      </w:r>
      <w:r>
        <w:rPr>
          <w:lang w:val="en-GB"/>
        </w:rPr>
        <w:t>) and the mass loss was calculated as:</w:t>
      </w:r>
    </w:p>
    <w:p w14:paraId="47264B5D" w14:textId="77777777" w:rsidR="00122F85" w:rsidRDefault="003D5F70" w:rsidP="009575B1">
      <w:pPr>
        <w:spacing w:line="360" w:lineRule="auto"/>
        <w:jc w:val="center"/>
        <w:rPr>
          <w:lang w:val="en-GB"/>
        </w:rPr>
      </w:pPr>
      <m:oMath>
        <m:r>
          <w:rPr>
            <w:rFonts w:ascii="Cambria Math" w:hAnsi="Cambria Math"/>
            <w:lang w:val="en-GB"/>
          </w:rPr>
          <m:t>ML=</m:t>
        </m:r>
        <m:f>
          <m:fPr>
            <m:ctrlPr>
              <w:rPr>
                <w:rFonts w:ascii="Cambria Math" w:hAnsi="Cambria Math"/>
                <w:i/>
                <w:lang w:val="en-GB"/>
              </w:rPr>
            </m:ctrlPr>
          </m:fPr>
          <m:num>
            <m:r>
              <w:rPr>
                <w:rFonts w:ascii="Cambria Math" w:hAnsi="Cambria Math"/>
                <w:lang w:val="en-GB"/>
              </w:rPr>
              <m:t>(</m:t>
            </m:r>
            <m:sSub>
              <m:sSubPr>
                <m:ctrlPr>
                  <w:rPr>
                    <w:rFonts w:ascii="Cambria Math" w:hAnsi="Cambria Math"/>
                    <w:i/>
                    <w:lang w:val="en-GB"/>
                  </w:rPr>
                </m:ctrlPr>
              </m:sSubPr>
              <m:e>
                <m:r>
                  <w:rPr>
                    <w:rFonts w:ascii="Cambria Math" w:hAnsi="Cambria Math"/>
                    <w:lang w:val="en-GB"/>
                  </w:rPr>
                  <m:t>M</m:t>
                </m:r>
              </m:e>
              <m:sub>
                <m:r>
                  <w:rPr>
                    <w:rFonts w:ascii="Cambria Math" w:hAnsi="Cambria Math"/>
                    <w:lang w:val="en-GB"/>
                  </w:rPr>
                  <m:t>0</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M</m:t>
                </m:r>
              </m:e>
              <m:sub>
                <m:r>
                  <w:rPr>
                    <w:rFonts w:ascii="Cambria Math" w:hAnsi="Cambria Math"/>
                    <w:lang w:val="en-GB"/>
                  </w:rPr>
                  <m:t>ht</m:t>
                </m:r>
              </m:sub>
            </m:sSub>
            <m:r>
              <w:rPr>
                <w:rFonts w:ascii="Cambria Math" w:hAnsi="Cambria Math"/>
                <w:lang w:val="en-GB"/>
              </w:rPr>
              <m:t>)</m:t>
            </m:r>
          </m:num>
          <m:den>
            <m:sSub>
              <m:sSubPr>
                <m:ctrlPr>
                  <w:rPr>
                    <w:rFonts w:ascii="Cambria Math" w:hAnsi="Cambria Math"/>
                    <w:i/>
                    <w:lang w:val="en-GB"/>
                  </w:rPr>
                </m:ctrlPr>
              </m:sSubPr>
              <m:e>
                <m:r>
                  <w:rPr>
                    <w:rFonts w:ascii="Cambria Math" w:hAnsi="Cambria Math"/>
                    <w:lang w:val="en-GB"/>
                  </w:rPr>
                  <m:t>M</m:t>
                </m:r>
              </m:e>
              <m:sub>
                <m:r>
                  <w:rPr>
                    <w:rFonts w:ascii="Cambria Math" w:hAnsi="Cambria Math"/>
                    <w:lang w:val="en-GB"/>
                  </w:rPr>
                  <m:t>0</m:t>
                </m:r>
              </m:sub>
            </m:sSub>
          </m:den>
        </m:f>
        <m:r>
          <w:rPr>
            <w:rFonts w:ascii="Cambria Math" w:hAnsi="Cambria Math"/>
            <w:lang w:val="en-GB"/>
          </w:rPr>
          <m:t>%</m:t>
        </m:r>
      </m:oMath>
      <w:r>
        <w:rPr>
          <w:lang w:val="en-GB"/>
        </w:rPr>
        <w:t>.</w:t>
      </w:r>
    </w:p>
    <w:p w14:paraId="2325FC7D" w14:textId="5DA6F5A0" w:rsidR="00122F85" w:rsidRDefault="003D5F70">
      <w:pPr>
        <w:spacing w:line="360" w:lineRule="auto"/>
        <w:jc w:val="both"/>
        <w:rPr>
          <w:color w:val="FF0000"/>
          <w:lang w:val="en-GB"/>
        </w:rPr>
      </w:pPr>
      <w:r>
        <w:rPr>
          <w:lang w:val="en-GB"/>
        </w:rPr>
        <w:t xml:space="preserve">After the treatment, in order to minimize the effect of time on emissions, sampled treated boards and the reference boards (1+1 boards from each species) have been conditioned for about two months in a climatic chamber at RH 65%, T 20 °C. After the conditioning, the equilibrium moisture content of wood was about 12% in </w:t>
      </w:r>
      <w:r w:rsidR="003A0E98">
        <w:rPr>
          <w:lang w:val="en-GB"/>
        </w:rPr>
        <w:t>un</w:t>
      </w:r>
      <w:r>
        <w:rPr>
          <w:lang w:val="en-GB"/>
        </w:rPr>
        <w:t xml:space="preserve">treated samples and about 6% in treated samples. Such reduced hygroscopicity is peculiar of thermally modified wood and it is due to the thermal degradation of hemicellulose and cellulose of the </w:t>
      </w:r>
      <w:r w:rsidR="00834AC7">
        <w:rPr>
          <w:lang w:val="en-GB"/>
        </w:rPr>
        <w:t xml:space="preserve">cell </w:t>
      </w:r>
      <w:r>
        <w:rPr>
          <w:lang w:val="en-GB"/>
        </w:rPr>
        <w:t>walls</w:t>
      </w:r>
      <w:r w:rsidR="00834AC7" w:rsidRPr="00C2782D">
        <w:rPr>
          <w:lang w:val="en-GB"/>
        </w:rPr>
        <w:t>.</w:t>
      </w:r>
    </w:p>
    <w:p w14:paraId="035408C0" w14:textId="77777777" w:rsidR="00122F85" w:rsidRDefault="003D5F70">
      <w:pPr>
        <w:spacing w:line="360" w:lineRule="auto"/>
        <w:jc w:val="both"/>
        <w:rPr>
          <w:lang w:val="en-GB"/>
        </w:rPr>
      </w:pPr>
      <w:r>
        <w:rPr>
          <w:lang w:val="en-GB"/>
        </w:rPr>
        <w:t>Five</w:t>
      </w:r>
      <w:r>
        <w:rPr>
          <w:rStyle w:val="tlid-translation"/>
          <w:lang w:val="en-GB"/>
        </w:rPr>
        <w:t xml:space="preserve"> mm of thickness were removed from the external surface. In addition, some shavings from the last planer step to a depth of 55 mm were collected and immediately placed in a clear vial and capped.</w:t>
      </w:r>
    </w:p>
    <w:p w14:paraId="49E07036" w14:textId="77777777" w:rsidR="00122F85" w:rsidRDefault="00122F85">
      <w:pPr>
        <w:jc w:val="both"/>
        <w:rPr>
          <w:b/>
          <w:lang w:val="en-GB"/>
        </w:rPr>
      </w:pPr>
    </w:p>
    <w:p w14:paraId="423DA5E1" w14:textId="77777777" w:rsidR="00122F85" w:rsidRDefault="003D5F70">
      <w:pPr>
        <w:jc w:val="both"/>
        <w:rPr>
          <w:b/>
          <w:lang w:val="en-GB"/>
        </w:rPr>
      </w:pPr>
      <w:r>
        <w:rPr>
          <w:b/>
          <w:lang w:val="en-GB"/>
        </w:rPr>
        <w:t>PTR-ToF-MS measurements</w:t>
      </w:r>
    </w:p>
    <w:p w14:paraId="5211868C" w14:textId="77777777" w:rsidR="00122F85" w:rsidRDefault="00122F85">
      <w:pPr>
        <w:jc w:val="both"/>
      </w:pPr>
    </w:p>
    <w:p w14:paraId="05639296" w14:textId="05D1EEB0" w:rsidR="00122F85" w:rsidRDefault="003D5F70">
      <w:pPr>
        <w:spacing w:line="360" w:lineRule="auto"/>
        <w:jc w:val="both"/>
        <w:rPr>
          <w:lang w:val="en-GB"/>
        </w:rPr>
      </w:pPr>
      <w:r>
        <w:rPr>
          <w:lang w:val="en-GB"/>
        </w:rPr>
        <w:t>All measurements were performed by using a commercial PTR-ToF-MS 8000 instrument (Ionicon Analytik GmbH, Innsbruck, Austria). The ionisation conditions were the following: 5</w:t>
      </w:r>
      <w:r w:rsidR="003B4846">
        <w:rPr>
          <w:lang w:val="en-GB"/>
        </w:rPr>
        <w:t>6</w:t>
      </w:r>
      <w:r>
        <w:rPr>
          <w:lang w:val="en-GB"/>
        </w:rPr>
        <w:t>0 V drift voltage, 110 °C drift temperature, and 2.</w:t>
      </w:r>
      <w:r w:rsidR="003B4846">
        <w:rPr>
          <w:lang w:val="en-GB"/>
        </w:rPr>
        <w:t>80</w:t>
      </w:r>
      <w:r>
        <w:rPr>
          <w:lang w:val="en-GB"/>
        </w:rPr>
        <w:t xml:space="preserve"> mbar drift pressure, resulting in an E/N ratio of 1</w:t>
      </w:r>
      <w:r w:rsidR="003B4846">
        <w:rPr>
          <w:lang w:val="en-GB"/>
        </w:rPr>
        <w:t>3</w:t>
      </w:r>
      <w:r>
        <w:rPr>
          <w:lang w:val="en-GB"/>
        </w:rPr>
        <w:t xml:space="preserve">0 Td. Data acquisition was set to record </w:t>
      </w:r>
      <w:r w:rsidR="00115A2F">
        <w:rPr>
          <w:lang w:val="en-GB"/>
        </w:rPr>
        <w:t>one</w:t>
      </w:r>
      <w:r>
        <w:rPr>
          <w:lang w:val="en-GB"/>
        </w:rPr>
        <w:t xml:space="preserve"> mass spectrum per second. Inlet flow was set to 40 sccm.</w:t>
      </w:r>
    </w:p>
    <w:p w14:paraId="57FB4348" w14:textId="49A31F75" w:rsidR="00122F85" w:rsidRDefault="003D5F70">
      <w:pPr>
        <w:spacing w:line="360" w:lineRule="auto"/>
        <w:jc w:val="both"/>
        <w:rPr>
          <w:lang w:val="en-GB"/>
        </w:rPr>
      </w:pPr>
      <w:r>
        <w:rPr>
          <w:lang w:val="en-GB"/>
        </w:rPr>
        <w:t xml:space="preserve">Three replicates of 0.5 grams of each sample were placed into a 20-ml screw-capped clear vial (Supelco, Bellefonte, </w:t>
      </w:r>
      <w:r w:rsidR="00D3166C">
        <w:rPr>
          <w:lang w:val="en-GB"/>
        </w:rPr>
        <w:t>US</w:t>
      </w:r>
      <w:r>
        <w:rPr>
          <w:lang w:val="en-GB"/>
        </w:rPr>
        <w:t xml:space="preserve">). The vials were equilibrated at 40°C for </w:t>
      </w:r>
      <w:r>
        <w:rPr>
          <w:lang w:val="en-GB"/>
        </w:rPr>
        <w:lastRenderedPageBreak/>
        <w:t xml:space="preserve">30 min before the analysis. Each measurement was the averaged result of 30 seconds of acquisition. A multipurpose autosampler (Gerstel GmbH, Mulheim am Ruhr, Germany) was used to perform </w:t>
      </w:r>
      <w:r w:rsidR="00115A2F">
        <w:rPr>
          <w:lang w:val="en-GB"/>
        </w:rPr>
        <w:t>headspace analysis</w:t>
      </w:r>
      <w:r>
        <w:rPr>
          <w:lang w:val="en-GB"/>
        </w:rPr>
        <w:t xml:space="preserve"> in automated manner.</w:t>
      </w:r>
    </w:p>
    <w:p w14:paraId="5D51033C" w14:textId="77777777" w:rsidR="00122F85" w:rsidRDefault="00122F85">
      <w:pPr>
        <w:jc w:val="both"/>
        <w:rPr>
          <w:b/>
          <w:lang w:val="en-GB"/>
        </w:rPr>
      </w:pPr>
    </w:p>
    <w:p w14:paraId="07F60C16" w14:textId="77777777" w:rsidR="00122F85" w:rsidRDefault="003D5F70">
      <w:pPr>
        <w:jc w:val="both"/>
        <w:rPr>
          <w:b/>
          <w:lang w:val="en-GB"/>
        </w:rPr>
      </w:pPr>
      <w:r>
        <w:rPr>
          <w:b/>
          <w:lang w:val="en-GB"/>
        </w:rPr>
        <w:t>Data extraction and analysis</w:t>
      </w:r>
    </w:p>
    <w:p w14:paraId="053A6211" w14:textId="77777777" w:rsidR="00122F85" w:rsidRDefault="00122F85">
      <w:pPr>
        <w:jc w:val="both"/>
        <w:rPr>
          <w:b/>
          <w:lang w:val="en-GB"/>
        </w:rPr>
      </w:pPr>
    </w:p>
    <w:p w14:paraId="2BD0D0E3" w14:textId="289955C7" w:rsidR="00122F85" w:rsidRDefault="003D5F70">
      <w:pPr>
        <w:spacing w:line="360" w:lineRule="auto"/>
        <w:jc w:val="both"/>
        <w:rPr>
          <w:lang w:val="en-GB"/>
        </w:rPr>
      </w:pPr>
      <w:r>
        <w:rPr>
          <w:lang w:val="en-GB"/>
        </w:rPr>
        <w:t xml:space="preserve">Dead time correction, internal calibration of PTR-ToF-MS data and subsequent peak extraction steps were performed according to procedures described elsewhere </w:t>
      </w:r>
      <w:r>
        <w:rPr>
          <w:lang w:val="en-GB"/>
        </w:rPr>
        <w:fldChar w:fldCharType="begin"/>
      </w:r>
      <w:r w:rsidR="00AD3004">
        <w:rPr>
          <w:lang w:val="en-GB"/>
        </w:rPr>
        <w:instrText xml:space="preserve"> ADDIN ZOTERO_ITEM CSL_CITATION {"citationID":"BwRA3P8e","properties":{"formattedCitation":"[25,26]","plainCitation":"[25,26]","noteIndex":0},"citationItems":[{"id":928,"uris":["http://zotero.org/users/local/FaDQTzcp/items/4ELC28Z4"],"itemData":{"id":928,"type":"article-journal","container-title":"International Journal of Mass Spectrometry","DOI":"10.1016/j.ijms.2009.11.007","ISSN":"13873806","issue":"1","journalAbbreviation":"International Journal of Mass Spectrometry","language":"en","page":"60-63","source":"DOI.org (Crossref)","title":"Improved mass accuracy in PTR-TOF-MS: Another step towards better compound identification in PTR-MS","title-short":"Improved mass accuracy in PTR-TOF-MS","volume":"290","author":[{"family":"Cappellin","given":"Luca"},{"family":"Biasioli","given":"Franco"},{"family":"Fabris","given":"Alessandra"},{"family":"Schuhfried","given":"Erna"},{"family":"Soukoulis","given":"Christos"},{"family":"Märk","given":"Tilmann D."},{"family":"Gasperi","given":"Flavia"}],"issued":{"date-parts":[["2010",2]]}}},{"id":929,"uris":["http://zotero.org/users/local/FaDQTzcp/items/YYTNF5BX"],"itemData":{"id":929,"type":"article-journal","container-title":"Sensors and Actuators B: Chemical","DOI":"10.1016/j.snb.2010.11.044","ISSN":"09254005","issue":"1","journalAbbreviation":"Sensors and Actuators B: Chemical","language":"en","page":"183-190","source":"DOI.org (Crossref)","title":"On data analysis in PTR-TOF-MS: From raw spectra to data mining","title-short":"On data analysis in PTR-TOF-MS","volume":"155","author":[{"family":"Cappellin","given":"Luca"},{"family":"Biasioli","given":"Franco"},{"family":"Granitto","given":"Pablo M."},{"family":"Schuhfried","given":"Erna"},{"family":"Soukoulis","given":"Christos"},{"family":"Costa","given":"Fabrizio"},{"family":"Märk","given":"Tilmann D."},{"family":"Gasperi","given":"Flavia"}],"issued":{"date-parts":[["2011",7]]}}}],"schema":"https://github.com/citation-style-language/schema/raw/master/csl-citation.json"} </w:instrText>
      </w:r>
      <w:r>
        <w:rPr>
          <w:lang w:val="en-GB"/>
        </w:rPr>
        <w:fldChar w:fldCharType="separate"/>
      </w:r>
      <w:r w:rsidR="00AD3004" w:rsidRPr="00AD3004">
        <w:rPr>
          <w:rFonts w:ascii="Cambria" w:hAnsi="Cambria"/>
        </w:rPr>
        <w:t>[25,26]</w:t>
      </w:r>
      <w:r>
        <w:rPr>
          <w:lang w:val="en-GB"/>
        </w:rPr>
        <w:fldChar w:fldCharType="end"/>
      </w:r>
      <w:r>
        <w:rPr>
          <w:lang w:val="en-GB"/>
        </w:rPr>
        <w:t xml:space="preserve"> to reach </w:t>
      </w:r>
      <w:r w:rsidR="00174812">
        <w:rPr>
          <w:lang w:val="en-GB"/>
        </w:rPr>
        <w:t xml:space="preserve">in most cases </w:t>
      </w:r>
      <w:r>
        <w:rPr>
          <w:lang w:val="en-GB"/>
        </w:rPr>
        <w:t xml:space="preserve">a mass accuracy ≤0.001 Th, which is sufficient for sum formula determination. The baseline of the mass spectra was removed after averaging the whole measurement and peak detection and peak area extraction was performed by using a modified Gaussian to fit the data. Whenever a peak was detected, the volatile concentrations were calculated directly via the amount of detected ions in ppbV (part per billion in volume) levels according to the formulas described by </w:t>
      </w:r>
      <w:r>
        <w:rPr>
          <w:lang w:val="en-GB"/>
        </w:rPr>
        <w:fldChar w:fldCharType="begin"/>
      </w:r>
      <w:r>
        <w:rPr>
          <w:lang w:val="en-GB"/>
        </w:rPr>
        <w:instrText xml:space="preserve"> ADDIN ZOTERO_ITEM CSL_CITATION {"citationID":"pBV39INW","properties":{"formattedCitation":"(Lindinger et al., 1998)","plainCitation":"(Lindinger et al., 1998)","dontUpdate":true,"noteIndex":0},"citationItems":[{"id":3532,"uris":["http://zotero.org/users/local/FaDQTzcp/items/RE4GNHCK"],"itemData":{"id":3532,"type":"article-journal","container-title":"International Journal of Mass Spectrometry and Ion Processes","DOI":"10.1016/s0168-1176(97)00281-4","issue":"3","page":"191-241","title":"On-line monitoring of volatile organic compounds at pptv levels by means of Proton-Transfer-Reaction Mass Spectrometry (PTR-MS) Medical applications, food control and environmental research","volume":"173","author":[{"family":"Lindinger","given":"W."},{"family":"Hansel","given":"A."},{"family":"Jordan","given":"A."}],"issued":{"date-parts":[["1998"]]}}}],"schema":"https://github.com/citation-style-language/schema/raw/master/csl-citation.json"} </w:instrText>
      </w:r>
      <w:r>
        <w:rPr>
          <w:lang w:val="en-GB"/>
        </w:rPr>
        <w:fldChar w:fldCharType="separate"/>
      </w:r>
      <w:r>
        <w:rPr>
          <w:rFonts w:ascii="Cambria" w:hAnsi="Cambria"/>
        </w:rPr>
        <w:t>Lindinger et al. (1998)</w:t>
      </w:r>
      <w:r>
        <w:rPr>
          <w:lang w:val="en-GB"/>
        </w:rPr>
        <w:fldChar w:fldCharType="end"/>
      </w:r>
      <w:r>
        <w:rPr>
          <w:lang w:val="en-GB"/>
        </w:rPr>
        <w:t xml:space="preserve"> by assuming a constant reaction rate coefficient (k</w:t>
      </w:r>
      <w:r>
        <w:rPr>
          <w:vertAlign w:val="subscript"/>
          <w:lang w:val="en-GB"/>
        </w:rPr>
        <w:t>R</w:t>
      </w:r>
      <w:r>
        <w:rPr>
          <w:lang w:val="en-GB"/>
        </w:rPr>
        <w:t>=2×10</w:t>
      </w:r>
      <w:r>
        <w:rPr>
          <w:vertAlign w:val="superscript"/>
          <w:lang w:val="en-GB"/>
        </w:rPr>
        <w:t>−9</w:t>
      </w:r>
      <w:r>
        <w:rPr>
          <w:lang w:val="en-GB"/>
        </w:rPr>
        <w:t xml:space="preserve"> cm</w:t>
      </w:r>
      <w:r>
        <w:rPr>
          <w:vertAlign w:val="superscript"/>
          <w:lang w:val="en-GB"/>
        </w:rPr>
        <w:t>3</w:t>
      </w:r>
      <w:r>
        <w:rPr>
          <w:lang w:val="en-GB"/>
        </w:rPr>
        <w:t xml:space="preserve">/s). Mass spectra were recorded in the range 15-300 Th mass-to-charge ratio. PTR-ToF-MS data processing and statistical analyses were performed by using software packages and scripts developed in-house in MATLAB (MathWorks, Natick, MA) and R Programming Language </w:t>
      </w:r>
      <w:r>
        <w:rPr>
          <w:lang w:val="en-GB"/>
        </w:rPr>
        <w:fldChar w:fldCharType="begin"/>
      </w:r>
      <w:r w:rsidR="00AD3004">
        <w:rPr>
          <w:lang w:val="en-GB"/>
        </w:rPr>
        <w:instrText xml:space="preserve"> ADDIN ZOTERO_ITEM CSL_CITATION {"citationID":"8bFJogX7","properties":{"formattedCitation":"[28]","plainCitation":"[28]","noteIndex":0},"citationItems":[{"id":932,"uris":["http://zotero.org/users/local/FaDQTzcp/items/6IK4WKUU"],"itemData":{"id":932,"type":"book","event-place":"Vienna, Austria","publisher":"R Foundation for Statistical Computing","publisher-place":"Vienna, Austria","title":"R: A Language and Environment for Statistical Computing","URL":"https://www.R-project.org/","author":[{"literal":"R Core Team"}],"issued":{"date-parts":[["2022"]]}}}],"schema":"https://github.com/citation-style-language/schema/raw/master/csl-citation.json"} </w:instrText>
      </w:r>
      <w:r>
        <w:rPr>
          <w:lang w:val="en-GB"/>
        </w:rPr>
        <w:fldChar w:fldCharType="separate"/>
      </w:r>
      <w:r w:rsidR="00AD3004" w:rsidRPr="00AD3004">
        <w:rPr>
          <w:rFonts w:ascii="Cambria" w:hAnsi="Cambria"/>
        </w:rPr>
        <w:t>[28]</w:t>
      </w:r>
      <w:r>
        <w:rPr>
          <w:lang w:val="en-GB"/>
        </w:rPr>
        <w:fldChar w:fldCharType="end"/>
      </w:r>
      <w:r>
        <w:rPr>
          <w:lang w:val="en-GB"/>
        </w:rPr>
        <w:t>.</w:t>
      </w:r>
    </w:p>
    <w:p w14:paraId="04EA5C7A" w14:textId="77777777" w:rsidR="00122F85" w:rsidRDefault="00122F85">
      <w:pPr>
        <w:jc w:val="both"/>
      </w:pPr>
    </w:p>
    <w:p w14:paraId="2DEA56CA" w14:textId="77777777" w:rsidR="00122F85" w:rsidRDefault="003D5F70">
      <w:pPr>
        <w:jc w:val="both"/>
        <w:rPr>
          <w:b/>
          <w:lang w:val="en-GB"/>
        </w:rPr>
      </w:pPr>
      <w:r>
        <w:rPr>
          <w:b/>
          <w:lang w:val="en-GB"/>
        </w:rPr>
        <w:t>Results and discussion</w:t>
      </w:r>
    </w:p>
    <w:p w14:paraId="12104C24" w14:textId="77777777" w:rsidR="00122F85" w:rsidRDefault="00122F85">
      <w:pPr>
        <w:jc w:val="both"/>
        <w:rPr>
          <w:b/>
          <w:lang w:val="en-GB"/>
        </w:rPr>
      </w:pPr>
    </w:p>
    <w:p w14:paraId="1645C2DE" w14:textId="28E51A64" w:rsidR="00122F85" w:rsidRDefault="003D5F70">
      <w:pPr>
        <w:spacing w:line="360" w:lineRule="auto"/>
        <w:jc w:val="both"/>
        <w:rPr>
          <w:lang w:val="en-GB"/>
        </w:rPr>
      </w:pPr>
      <w:r>
        <w:rPr>
          <w:lang w:val="en-GB"/>
        </w:rPr>
        <w:t>Overall, the sample set consisted of six different tree species submitted to six different treatments or untreated. Whenever possible, samples originating from different wood types of the same species (</w:t>
      </w:r>
      <w:r>
        <w:rPr>
          <w:i/>
          <w:lang w:val="en-GB"/>
        </w:rPr>
        <w:t>i.e.</w:t>
      </w:r>
      <w:r>
        <w:rPr>
          <w:lang w:val="en-GB"/>
        </w:rPr>
        <w:t xml:space="preserve"> heartwood </w:t>
      </w:r>
      <w:r>
        <w:rPr>
          <w:i/>
          <w:lang w:val="en-GB"/>
        </w:rPr>
        <w:t>vs.</w:t>
      </w:r>
      <w:r>
        <w:rPr>
          <w:lang w:val="en-GB"/>
        </w:rPr>
        <w:t xml:space="preserve"> sapwood) were separately processed and characterised. The characteristics of the sample set are summarised in Table </w:t>
      </w:r>
      <w:r w:rsidR="00CC03BD">
        <w:rPr>
          <w:lang w:val="en-GB"/>
        </w:rPr>
        <w:t>3</w:t>
      </w:r>
      <w:r>
        <w:rPr>
          <w:lang w:val="en-GB"/>
        </w:rPr>
        <w:t>.</w:t>
      </w:r>
    </w:p>
    <w:tbl>
      <w:tblPr>
        <w:tblW w:w="4620" w:type="dxa"/>
        <w:tblLook w:val="04A0" w:firstRow="1" w:lastRow="0" w:firstColumn="1" w:lastColumn="0" w:noHBand="0" w:noVBand="1"/>
      </w:tblPr>
      <w:tblGrid>
        <w:gridCol w:w="1023"/>
        <w:gridCol w:w="1370"/>
        <w:gridCol w:w="566"/>
        <w:gridCol w:w="566"/>
        <w:gridCol w:w="566"/>
        <w:gridCol w:w="566"/>
        <w:gridCol w:w="566"/>
        <w:gridCol w:w="566"/>
        <w:gridCol w:w="566"/>
      </w:tblGrid>
      <w:tr w:rsidR="00122F85" w14:paraId="75A2881A" w14:textId="77777777">
        <w:trPr>
          <w:trHeight w:val="290"/>
        </w:trPr>
        <w:tc>
          <w:tcPr>
            <w:tcW w:w="959" w:type="dxa"/>
            <w:vMerge w:val="restart"/>
            <w:tcBorders>
              <w:top w:val="single" w:sz="4" w:space="0" w:color="auto"/>
            </w:tcBorders>
            <w:shd w:val="clear" w:color="auto" w:fill="auto"/>
          </w:tcPr>
          <w:p w14:paraId="0D51848F" w14:textId="77777777" w:rsidR="00122F85" w:rsidRDefault="003D5F70">
            <w:pPr>
              <w:jc w:val="center"/>
              <w:rPr>
                <w:rFonts w:eastAsia="Times New Roman" w:cs="Calibri"/>
                <w:b/>
                <w:bCs/>
                <w:color w:val="000000"/>
                <w:lang w:val="en-GB" w:eastAsia="en-GB"/>
              </w:rPr>
            </w:pPr>
            <w:r>
              <w:rPr>
                <w:rFonts w:eastAsia="Times New Roman" w:cs="Calibri"/>
                <w:b/>
                <w:bCs/>
                <w:color w:val="000000"/>
                <w:lang w:val="en-GB" w:eastAsia="en-GB"/>
              </w:rPr>
              <w:t>Tree species</w:t>
            </w:r>
          </w:p>
        </w:tc>
        <w:tc>
          <w:tcPr>
            <w:tcW w:w="1200" w:type="dxa"/>
            <w:vMerge w:val="restart"/>
            <w:tcBorders>
              <w:top w:val="single" w:sz="4" w:space="0" w:color="auto"/>
            </w:tcBorders>
            <w:shd w:val="clear" w:color="auto" w:fill="auto"/>
          </w:tcPr>
          <w:p w14:paraId="0B57277C" w14:textId="77777777" w:rsidR="00122F85" w:rsidRDefault="003D5F70">
            <w:pPr>
              <w:jc w:val="center"/>
              <w:rPr>
                <w:rFonts w:eastAsia="Times New Roman" w:cs="Calibri"/>
                <w:b/>
                <w:bCs/>
                <w:color w:val="000000"/>
                <w:lang w:val="en-GB" w:eastAsia="en-GB"/>
              </w:rPr>
            </w:pPr>
            <w:r>
              <w:rPr>
                <w:rFonts w:eastAsia="Times New Roman" w:cs="Calibri"/>
                <w:b/>
                <w:bCs/>
                <w:color w:val="000000"/>
                <w:lang w:val="en-GB" w:eastAsia="en-GB"/>
              </w:rPr>
              <w:t>Wood type</w:t>
            </w:r>
          </w:p>
        </w:tc>
        <w:tc>
          <w:tcPr>
            <w:tcW w:w="2461" w:type="dxa"/>
            <w:gridSpan w:val="7"/>
            <w:tcBorders>
              <w:top w:val="single" w:sz="4" w:space="0" w:color="auto"/>
              <w:bottom w:val="single" w:sz="4" w:space="0" w:color="auto"/>
            </w:tcBorders>
            <w:shd w:val="clear" w:color="auto" w:fill="auto"/>
            <w:noWrap/>
          </w:tcPr>
          <w:p w14:paraId="2992891B" w14:textId="77777777" w:rsidR="00122F85" w:rsidRDefault="003D5F70">
            <w:pPr>
              <w:jc w:val="center"/>
              <w:rPr>
                <w:rFonts w:eastAsia="Times New Roman" w:cs="Calibri"/>
                <w:b/>
                <w:bCs/>
                <w:color w:val="000000"/>
                <w:lang w:val="en-GB" w:eastAsia="en-GB"/>
              </w:rPr>
            </w:pPr>
            <w:r>
              <w:rPr>
                <w:rFonts w:eastAsia="Times New Roman" w:cs="Calibri"/>
                <w:b/>
                <w:bCs/>
                <w:color w:val="000000"/>
                <w:lang w:val="en-GB" w:eastAsia="en-GB"/>
              </w:rPr>
              <w:t>Treatments</w:t>
            </w:r>
          </w:p>
        </w:tc>
      </w:tr>
      <w:tr w:rsidR="00122F85" w14:paraId="5374C64B" w14:textId="77777777">
        <w:trPr>
          <w:trHeight w:val="290"/>
        </w:trPr>
        <w:tc>
          <w:tcPr>
            <w:tcW w:w="959" w:type="dxa"/>
            <w:vMerge/>
            <w:tcBorders>
              <w:bottom w:val="single" w:sz="4" w:space="0" w:color="auto"/>
            </w:tcBorders>
            <w:shd w:val="clear" w:color="auto" w:fill="auto"/>
          </w:tcPr>
          <w:p w14:paraId="774C4F98" w14:textId="77777777" w:rsidR="00122F85" w:rsidRDefault="00122F85">
            <w:pPr>
              <w:jc w:val="center"/>
              <w:rPr>
                <w:rFonts w:eastAsia="Times New Roman" w:cs="Calibri"/>
                <w:b/>
                <w:bCs/>
                <w:color w:val="000000"/>
                <w:lang w:val="en-GB" w:eastAsia="en-GB"/>
              </w:rPr>
            </w:pPr>
          </w:p>
        </w:tc>
        <w:tc>
          <w:tcPr>
            <w:tcW w:w="1200" w:type="dxa"/>
            <w:vMerge/>
            <w:tcBorders>
              <w:bottom w:val="single" w:sz="4" w:space="0" w:color="auto"/>
            </w:tcBorders>
            <w:shd w:val="clear" w:color="auto" w:fill="auto"/>
          </w:tcPr>
          <w:p w14:paraId="459667B0" w14:textId="77777777" w:rsidR="00122F85" w:rsidRDefault="00122F85">
            <w:pPr>
              <w:jc w:val="center"/>
              <w:rPr>
                <w:rFonts w:eastAsia="Times New Roman" w:cs="Calibri"/>
                <w:b/>
                <w:bCs/>
                <w:color w:val="000000"/>
                <w:lang w:val="en-GB" w:eastAsia="en-GB"/>
              </w:rPr>
            </w:pPr>
          </w:p>
        </w:tc>
        <w:tc>
          <w:tcPr>
            <w:tcW w:w="444" w:type="dxa"/>
            <w:tcBorders>
              <w:top w:val="single" w:sz="4" w:space="0" w:color="auto"/>
              <w:bottom w:val="single" w:sz="4" w:space="0" w:color="auto"/>
            </w:tcBorders>
            <w:shd w:val="clear" w:color="auto" w:fill="auto"/>
            <w:noWrap/>
          </w:tcPr>
          <w:p w14:paraId="3614B350" w14:textId="77777777" w:rsidR="00122F85" w:rsidRDefault="003D5F70">
            <w:pPr>
              <w:jc w:val="center"/>
              <w:rPr>
                <w:rFonts w:eastAsia="Times New Roman" w:cs="Calibri"/>
                <w:b/>
                <w:bCs/>
                <w:color w:val="000000"/>
                <w:lang w:val="en-GB" w:eastAsia="en-GB"/>
              </w:rPr>
            </w:pPr>
            <w:r>
              <w:rPr>
                <w:rFonts w:eastAsia="Times New Roman" w:cs="Calibri"/>
                <w:b/>
                <w:bCs/>
                <w:color w:val="000000"/>
                <w:lang w:val="en-GB" w:eastAsia="en-GB"/>
              </w:rPr>
              <w:t>NT</w:t>
            </w:r>
          </w:p>
        </w:tc>
        <w:tc>
          <w:tcPr>
            <w:tcW w:w="329" w:type="dxa"/>
            <w:tcBorders>
              <w:top w:val="single" w:sz="4" w:space="0" w:color="auto"/>
              <w:bottom w:val="single" w:sz="4" w:space="0" w:color="auto"/>
            </w:tcBorders>
            <w:shd w:val="clear" w:color="auto" w:fill="auto"/>
            <w:noWrap/>
          </w:tcPr>
          <w:p w14:paraId="532FDEE0" w14:textId="77777777" w:rsidR="00122F85" w:rsidRDefault="003D5F70">
            <w:pPr>
              <w:jc w:val="center"/>
              <w:rPr>
                <w:rFonts w:eastAsia="Times New Roman" w:cs="Calibri"/>
                <w:b/>
                <w:bCs/>
                <w:color w:val="000000"/>
                <w:lang w:val="en-GB" w:eastAsia="en-GB"/>
              </w:rPr>
            </w:pPr>
            <w:r>
              <w:rPr>
                <w:rFonts w:eastAsia="Times New Roman" w:cs="Calibri"/>
                <w:b/>
                <w:bCs/>
                <w:color w:val="000000"/>
                <w:lang w:val="en-GB" w:eastAsia="en-GB"/>
              </w:rPr>
              <w:t>A</w:t>
            </w:r>
          </w:p>
        </w:tc>
        <w:tc>
          <w:tcPr>
            <w:tcW w:w="317" w:type="dxa"/>
            <w:tcBorders>
              <w:top w:val="single" w:sz="4" w:space="0" w:color="auto"/>
              <w:bottom w:val="single" w:sz="4" w:space="0" w:color="auto"/>
            </w:tcBorders>
            <w:shd w:val="clear" w:color="auto" w:fill="auto"/>
            <w:noWrap/>
          </w:tcPr>
          <w:p w14:paraId="6E8616E8" w14:textId="77777777" w:rsidR="00122F85" w:rsidRDefault="003D5F70">
            <w:pPr>
              <w:jc w:val="center"/>
              <w:rPr>
                <w:rFonts w:eastAsia="Times New Roman" w:cs="Calibri"/>
                <w:b/>
                <w:bCs/>
                <w:color w:val="000000"/>
                <w:lang w:val="en-GB" w:eastAsia="en-GB"/>
              </w:rPr>
            </w:pPr>
            <w:r>
              <w:rPr>
                <w:rFonts w:eastAsia="Times New Roman" w:cs="Calibri"/>
                <w:b/>
                <w:bCs/>
                <w:color w:val="000000"/>
                <w:lang w:val="en-GB" w:eastAsia="en-GB"/>
              </w:rPr>
              <w:t>B</w:t>
            </w:r>
          </w:p>
        </w:tc>
        <w:tc>
          <w:tcPr>
            <w:tcW w:w="314" w:type="dxa"/>
            <w:tcBorders>
              <w:top w:val="single" w:sz="4" w:space="0" w:color="auto"/>
              <w:bottom w:val="single" w:sz="4" w:space="0" w:color="auto"/>
            </w:tcBorders>
            <w:shd w:val="clear" w:color="auto" w:fill="auto"/>
            <w:noWrap/>
          </w:tcPr>
          <w:p w14:paraId="2929B2D3" w14:textId="77777777" w:rsidR="00122F85" w:rsidRDefault="003D5F70">
            <w:pPr>
              <w:jc w:val="center"/>
              <w:rPr>
                <w:rFonts w:eastAsia="Times New Roman" w:cs="Calibri"/>
                <w:b/>
                <w:bCs/>
                <w:color w:val="000000"/>
                <w:lang w:val="en-GB" w:eastAsia="en-GB"/>
              </w:rPr>
            </w:pPr>
            <w:r>
              <w:rPr>
                <w:rFonts w:eastAsia="Times New Roman" w:cs="Calibri"/>
                <w:b/>
                <w:bCs/>
                <w:color w:val="000000"/>
                <w:lang w:val="en-GB" w:eastAsia="en-GB"/>
              </w:rPr>
              <w:t>C</w:t>
            </w:r>
          </w:p>
        </w:tc>
        <w:tc>
          <w:tcPr>
            <w:tcW w:w="342" w:type="dxa"/>
            <w:tcBorders>
              <w:top w:val="single" w:sz="4" w:space="0" w:color="auto"/>
              <w:bottom w:val="single" w:sz="4" w:space="0" w:color="auto"/>
            </w:tcBorders>
            <w:shd w:val="clear" w:color="auto" w:fill="auto"/>
            <w:noWrap/>
          </w:tcPr>
          <w:p w14:paraId="3FBE1BE6" w14:textId="77777777" w:rsidR="00122F85" w:rsidRDefault="003D5F70">
            <w:pPr>
              <w:jc w:val="center"/>
              <w:rPr>
                <w:rFonts w:eastAsia="Times New Roman" w:cs="Calibri"/>
                <w:b/>
                <w:bCs/>
                <w:color w:val="000000"/>
                <w:lang w:val="en-GB" w:eastAsia="en-GB"/>
              </w:rPr>
            </w:pPr>
            <w:r>
              <w:rPr>
                <w:rFonts w:eastAsia="Times New Roman" w:cs="Calibri"/>
                <w:b/>
                <w:bCs/>
                <w:color w:val="000000"/>
                <w:lang w:val="en-GB" w:eastAsia="en-GB"/>
              </w:rPr>
              <w:t>D</w:t>
            </w:r>
          </w:p>
        </w:tc>
        <w:tc>
          <w:tcPr>
            <w:tcW w:w="298" w:type="dxa"/>
            <w:tcBorders>
              <w:top w:val="single" w:sz="4" w:space="0" w:color="auto"/>
              <w:bottom w:val="single" w:sz="4" w:space="0" w:color="auto"/>
            </w:tcBorders>
            <w:shd w:val="clear" w:color="auto" w:fill="auto"/>
            <w:noWrap/>
          </w:tcPr>
          <w:p w14:paraId="7B4118D3" w14:textId="77777777" w:rsidR="00122F85" w:rsidRDefault="003D5F70">
            <w:pPr>
              <w:jc w:val="center"/>
              <w:rPr>
                <w:rFonts w:eastAsia="Times New Roman" w:cs="Calibri"/>
                <w:b/>
                <w:bCs/>
                <w:color w:val="000000"/>
                <w:lang w:val="en-GB" w:eastAsia="en-GB"/>
              </w:rPr>
            </w:pPr>
            <w:r>
              <w:rPr>
                <w:rFonts w:eastAsia="Times New Roman" w:cs="Calibri"/>
                <w:b/>
                <w:bCs/>
                <w:color w:val="000000"/>
                <w:lang w:val="en-GB" w:eastAsia="en-GB"/>
              </w:rPr>
              <w:t>E</w:t>
            </w:r>
          </w:p>
        </w:tc>
        <w:tc>
          <w:tcPr>
            <w:tcW w:w="417" w:type="dxa"/>
            <w:tcBorders>
              <w:top w:val="single" w:sz="4" w:space="0" w:color="auto"/>
              <w:bottom w:val="single" w:sz="4" w:space="0" w:color="auto"/>
            </w:tcBorders>
            <w:shd w:val="clear" w:color="auto" w:fill="auto"/>
            <w:noWrap/>
          </w:tcPr>
          <w:p w14:paraId="0B62416E" w14:textId="77777777" w:rsidR="00122F85" w:rsidRDefault="003D5F70">
            <w:pPr>
              <w:jc w:val="center"/>
              <w:rPr>
                <w:rFonts w:eastAsia="Times New Roman" w:cs="Calibri"/>
                <w:b/>
                <w:bCs/>
                <w:color w:val="000000"/>
                <w:lang w:val="en-GB" w:eastAsia="en-GB"/>
              </w:rPr>
            </w:pPr>
            <w:r>
              <w:rPr>
                <w:rFonts w:eastAsia="Times New Roman" w:cs="Calibri"/>
                <w:b/>
                <w:bCs/>
                <w:color w:val="000000"/>
                <w:lang w:val="en-GB" w:eastAsia="en-GB"/>
              </w:rPr>
              <w:t>TV</w:t>
            </w:r>
          </w:p>
        </w:tc>
      </w:tr>
      <w:tr w:rsidR="00122F85" w14:paraId="4FD07294" w14:textId="77777777">
        <w:trPr>
          <w:trHeight w:val="290"/>
        </w:trPr>
        <w:tc>
          <w:tcPr>
            <w:tcW w:w="959" w:type="dxa"/>
            <w:tcBorders>
              <w:top w:val="single" w:sz="4" w:space="0" w:color="auto"/>
            </w:tcBorders>
            <w:shd w:val="clear" w:color="auto" w:fill="auto"/>
            <w:noWrap/>
          </w:tcPr>
          <w:p w14:paraId="41E800F7"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AR</w:t>
            </w:r>
          </w:p>
        </w:tc>
        <w:tc>
          <w:tcPr>
            <w:tcW w:w="1200" w:type="dxa"/>
            <w:tcBorders>
              <w:top w:val="single" w:sz="4" w:space="0" w:color="auto"/>
            </w:tcBorders>
            <w:shd w:val="clear" w:color="auto" w:fill="auto"/>
            <w:noWrap/>
          </w:tcPr>
          <w:p w14:paraId="7C79D5C6"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Whole</w:t>
            </w:r>
          </w:p>
        </w:tc>
        <w:tc>
          <w:tcPr>
            <w:tcW w:w="444" w:type="dxa"/>
            <w:tcBorders>
              <w:top w:val="single" w:sz="4" w:space="0" w:color="auto"/>
            </w:tcBorders>
            <w:shd w:val="clear" w:color="auto" w:fill="auto"/>
            <w:noWrap/>
          </w:tcPr>
          <w:p w14:paraId="690B0929" w14:textId="3870EF9A" w:rsidR="00122F85" w:rsidRDefault="00174812">
            <w:pPr>
              <w:jc w:val="center"/>
              <w:rPr>
                <w:rFonts w:eastAsia="Times New Roman" w:cs="Calibri"/>
                <w:color w:val="000000"/>
                <w:lang w:val="en-GB" w:eastAsia="en-GB"/>
              </w:rPr>
            </w:pPr>
            <w:r>
              <w:rPr>
                <w:rFonts w:eastAsia="Times New Roman" w:cs="Calibri"/>
                <w:color w:val="000000"/>
                <w:lang w:val="en-GB" w:eastAsia="en-GB"/>
              </w:rPr>
              <w:t>X</w:t>
            </w:r>
          </w:p>
        </w:tc>
        <w:tc>
          <w:tcPr>
            <w:tcW w:w="329" w:type="dxa"/>
            <w:tcBorders>
              <w:top w:val="single" w:sz="4" w:space="0" w:color="auto"/>
            </w:tcBorders>
            <w:shd w:val="clear" w:color="auto" w:fill="auto"/>
            <w:noWrap/>
          </w:tcPr>
          <w:p w14:paraId="676B4A07"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7" w:type="dxa"/>
            <w:tcBorders>
              <w:top w:val="single" w:sz="4" w:space="0" w:color="auto"/>
            </w:tcBorders>
            <w:shd w:val="clear" w:color="auto" w:fill="auto"/>
            <w:noWrap/>
          </w:tcPr>
          <w:p w14:paraId="1A03CA1C"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4" w:type="dxa"/>
            <w:tcBorders>
              <w:top w:val="single" w:sz="4" w:space="0" w:color="auto"/>
            </w:tcBorders>
            <w:shd w:val="clear" w:color="auto" w:fill="auto"/>
            <w:noWrap/>
          </w:tcPr>
          <w:p w14:paraId="1E6D464D"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42" w:type="dxa"/>
            <w:tcBorders>
              <w:top w:val="single" w:sz="4" w:space="0" w:color="auto"/>
            </w:tcBorders>
            <w:shd w:val="clear" w:color="auto" w:fill="auto"/>
            <w:noWrap/>
          </w:tcPr>
          <w:p w14:paraId="612EBF4D"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298" w:type="dxa"/>
            <w:tcBorders>
              <w:top w:val="single" w:sz="4" w:space="0" w:color="auto"/>
            </w:tcBorders>
            <w:shd w:val="clear" w:color="auto" w:fill="auto"/>
            <w:noWrap/>
          </w:tcPr>
          <w:p w14:paraId="596DEA2D"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417" w:type="dxa"/>
            <w:tcBorders>
              <w:top w:val="single" w:sz="4" w:space="0" w:color="auto"/>
            </w:tcBorders>
            <w:shd w:val="clear" w:color="auto" w:fill="auto"/>
            <w:noWrap/>
          </w:tcPr>
          <w:p w14:paraId="68BDAE31"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r>
      <w:tr w:rsidR="00122F85" w14:paraId="0C273C01" w14:textId="77777777">
        <w:trPr>
          <w:trHeight w:val="290"/>
        </w:trPr>
        <w:tc>
          <w:tcPr>
            <w:tcW w:w="959" w:type="dxa"/>
            <w:shd w:val="clear" w:color="auto" w:fill="auto"/>
            <w:noWrap/>
          </w:tcPr>
          <w:p w14:paraId="0AC87D5F"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PS</w:t>
            </w:r>
          </w:p>
        </w:tc>
        <w:tc>
          <w:tcPr>
            <w:tcW w:w="1200" w:type="dxa"/>
            <w:shd w:val="clear" w:color="auto" w:fill="auto"/>
            <w:noWrap/>
          </w:tcPr>
          <w:p w14:paraId="487E64AD"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Whole</w:t>
            </w:r>
          </w:p>
        </w:tc>
        <w:tc>
          <w:tcPr>
            <w:tcW w:w="444" w:type="dxa"/>
            <w:shd w:val="clear" w:color="auto" w:fill="auto"/>
            <w:noWrap/>
          </w:tcPr>
          <w:p w14:paraId="33E91F69"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29" w:type="dxa"/>
            <w:shd w:val="clear" w:color="auto" w:fill="auto"/>
            <w:noWrap/>
          </w:tcPr>
          <w:p w14:paraId="1166BB77"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17" w:type="dxa"/>
            <w:shd w:val="clear" w:color="auto" w:fill="auto"/>
            <w:noWrap/>
          </w:tcPr>
          <w:p w14:paraId="2D32802D"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14" w:type="dxa"/>
            <w:shd w:val="clear" w:color="auto" w:fill="auto"/>
            <w:noWrap/>
          </w:tcPr>
          <w:p w14:paraId="056BFDD1"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42" w:type="dxa"/>
            <w:shd w:val="clear" w:color="auto" w:fill="auto"/>
            <w:noWrap/>
          </w:tcPr>
          <w:p w14:paraId="1AF4E8A2"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298" w:type="dxa"/>
            <w:shd w:val="clear" w:color="auto" w:fill="auto"/>
            <w:noWrap/>
          </w:tcPr>
          <w:p w14:paraId="408D610C"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417" w:type="dxa"/>
            <w:shd w:val="clear" w:color="auto" w:fill="auto"/>
            <w:noWrap/>
          </w:tcPr>
          <w:p w14:paraId="0AD0ED2B"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r>
      <w:tr w:rsidR="00122F85" w14:paraId="0CE7C1EC" w14:textId="77777777">
        <w:trPr>
          <w:trHeight w:val="290"/>
        </w:trPr>
        <w:tc>
          <w:tcPr>
            <w:tcW w:w="959" w:type="dxa"/>
            <w:shd w:val="clear" w:color="auto" w:fill="auto"/>
            <w:noWrap/>
          </w:tcPr>
          <w:p w14:paraId="58359A60"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PS</w:t>
            </w:r>
          </w:p>
        </w:tc>
        <w:tc>
          <w:tcPr>
            <w:tcW w:w="1200" w:type="dxa"/>
            <w:shd w:val="clear" w:color="auto" w:fill="auto"/>
            <w:noWrap/>
          </w:tcPr>
          <w:p w14:paraId="1B702E91"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Sapwood</w:t>
            </w:r>
          </w:p>
        </w:tc>
        <w:tc>
          <w:tcPr>
            <w:tcW w:w="444" w:type="dxa"/>
            <w:shd w:val="clear" w:color="auto" w:fill="auto"/>
            <w:noWrap/>
          </w:tcPr>
          <w:p w14:paraId="39B73469" w14:textId="7F9943C7" w:rsidR="00122F85" w:rsidRDefault="00174812">
            <w:pPr>
              <w:jc w:val="center"/>
              <w:rPr>
                <w:rFonts w:eastAsia="Times New Roman" w:cs="Calibri"/>
                <w:color w:val="000000"/>
                <w:lang w:val="en-GB" w:eastAsia="en-GB"/>
              </w:rPr>
            </w:pPr>
            <w:r>
              <w:rPr>
                <w:rFonts w:eastAsia="Times New Roman" w:cs="Calibri"/>
                <w:color w:val="000000"/>
                <w:lang w:val="en-GB" w:eastAsia="en-GB"/>
              </w:rPr>
              <w:t>X</w:t>
            </w:r>
          </w:p>
        </w:tc>
        <w:tc>
          <w:tcPr>
            <w:tcW w:w="329" w:type="dxa"/>
            <w:shd w:val="clear" w:color="auto" w:fill="auto"/>
            <w:noWrap/>
          </w:tcPr>
          <w:p w14:paraId="446281C7"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7" w:type="dxa"/>
            <w:shd w:val="clear" w:color="auto" w:fill="auto"/>
            <w:noWrap/>
          </w:tcPr>
          <w:p w14:paraId="12197CC6"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4" w:type="dxa"/>
            <w:shd w:val="clear" w:color="auto" w:fill="auto"/>
            <w:noWrap/>
          </w:tcPr>
          <w:p w14:paraId="76D4645C"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42" w:type="dxa"/>
            <w:shd w:val="clear" w:color="auto" w:fill="auto"/>
            <w:noWrap/>
          </w:tcPr>
          <w:p w14:paraId="4D1B129C"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298" w:type="dxa"/>
            <w:shd w:val="clear" w:color="auto" w:fill="auto"/>
            <w:noWrap/>
          </w:tcPr>
          <w:p w14:paraId="22A5C7CF"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417" w:type="dxa"/>
            <w:shd w:val="clear" w:color="auto" w:fill="auto"/>
            <w:noWrap/>
          </w:tcPr>
          <w:p w14:paraId="4CEF2192"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r>
      <w:tr w:rsidR="00122F85" w14:paraId="5B5D8CE4" w14:textId="77777777">
        <w:trPr>
          <w:trHeight w:val="290"/>
        </w:trPr>
        <w:tc>
          <w:tcPr>
            <w:tcW w:w="959" w:type="dxa"/>
            <w:shd w:val="clear" w:color="auto" w:fill="auto"/>
            <w:noWrap/>
          </w:tcPr>
          <w:p w14:paraId="32073315"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PS</w:t>
            </w:r>
          </w:p>
        </w:tc>
        <w:tc>
          <w:tcPr>
            <w:tcW w:w="1200" w:type="dxa"/>
            <w:shd w:val="clear" w:color="auto" w:fill="auto"/>
            <w:noWrap/>
          </w:tcPr>
          <w:p w14:paraId="593F76E2"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Heartwood</w:t>
            </w:r>
          </w:p>
        </w:tc>
        <w:tc>
          <w:tcPr>
            <w:tcW w:w="444" w:type="dxa"/>
            <w:shd w:val="clear" w:color="auto" w:fill="auto"/>
            <w:noWrap/>
          </w:tcPr>
          <w:p w14:paraId="72C0962A" w14:textId="3F1C6573" w:rsidR="00122F85" w:rsidRDefault="00CC03BD">
            <w:pPr>
              <w:jc w:val="center"/>
              <w:rPr>
                <w:rFonts w:eastAsia="Times New Roman" w:cs="Calibri"/>
                <w:color w:val="000000"/>
                <w:lang w:val="en-GB" w:eastAsia="en-GB"/>
              </w:rPr>
            </w:pPr>
            <w:r>
              <w:rPr>
                <w:rFonts w:eastAsia="Times New Roman" w:cs="Calibri"/>
                <w:color w:val="000000"/>
                <w:lang w:val="en-GB" w:eastAsia="en-GB"/>
              </w:rPr>
              <w:t>X</w:t>
            </w:r>
          </w:p>
        </w:tc>
        <w:tc>
          <w:tcPr>
            <w:tcW w:w="329" w:type="dxa"/>
            <w:shd w:val="clear" w:color="auto" w:fill="auto"/>
            <w:noWrap/>
          </w:tcPr>
          <w:p w14:paraId="614DAFD5"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7" w:type="dxa"/>
            <w:shd w:val="clear" w:color="auto" w:fill="auto"/>
            <w:noWrap/>
          </w:tcPr>
          <w:p w14:paraId="7C5F71D7"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4" w:type="dxa"/>
            <w:shd w:val="clear" w:color="auto" w:fill="auto"/>
            <w:noWrap/>
          </w:tcPr>
          <w:p w14:paraId="749F41C9"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42" w:type="dxa"/>
            <w:shd w:val="clear" w:color="auto" w:fill="auto"/>
            <w:noWrap/>
          </w:tcPr>
          <w:p w14:paraId="1CAB9F74"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298" w:type="dxa"/>
            <w:shd w:val="clear" w:color="auto" w:fill="auto"/>
            <w:noWrap/>
          </w:tcPr>
          <w:p w14:paraId="7F10DA1D"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417" w:type="dxa"/>
            <w:shd w:val="clear" w:color="auto" w:fill="auto"/>
            <w:noWrap/>
          </w:tcPr>
          <w:p w14:paraId="448C747C"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r>
      <w:tr w:rsidR="00122F85" w14:paraId="642E3273" w14:textId="77777777">
        <w:trPr>
          <w:trHeight w:val="290"/>
        </w:trPr>
        <w:tc>
          <w:tcPr>
            <w:tcW w:w="959" w:type="dxa"/>
            <w:shd w:val="clear" w:color="auto" w:fill="auto"/>
            <w:noWrap/>
          </w:tcPr>
          <w:p w14:paraId="2EF2EA7C"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FG</w:t>
            </w:r>
          </w:p>
        </w:tc>
        <w:tc>
          <w:tcPr>
            <w:tcW w:w="1200" w:type="dxa"/>
            <w:shd w:val="clear" w:color="auto" w:fill="auto"/>
            <w:noWrap/>
          </w:tcPr>
          <w:p w14:paraId="381A60DA"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Whole</w:t>
            </w:r>
          </w:p>
        </w:tc>
        <w:tc>
          <w:tcPr>
            <w:tcW w:w="444" w:type="dxa"/>
            <w:shd w:val="clear" w:color="auto" w:fill="auto"/>
            <w:noWrap/>
          </w:tcPr>
          <w:p w14:paraId="670261CF" w14:textId="214CD715" w:rsidR="00122F85" w:rsidRDefault="00CC03BD">
            <w:pPr>
              <w:jc w:val="center"/>
              <w:rPr>
                <w:rFonts w:eastAsia="Times New Roman" w:cs="Calibri"/>
                <w:color w:val="000000"/>
                <w:lang w:val="en-GB" w:eastAsia="en-GB"/>
              </w:rPr>
            </w:pPr>
            <w:r>
              <w:rPr>
                <w:rFonts w:eastAsia="Times New Roman" w:cs="Calibri"/>
                <w:color w:val="000000"/>
                <w:lang w:val="en-GB" w:eastAsia="en-GB"/>
              </w:rPr>
              <w:t>X</w:t>
            </w:r>
          </w:p>
        </w:tc>
        <w:tc>
          <w:tcPr>
            <w:tcW w:w="329" w:type="dxa"/>
            <w:shd w:val="clear" w:color="auto" w:fill="auto"/>
            <w:noWrap/>
          </w:tcPr>
          <w:p w14:paraId="616F4180"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7" w:type="dxa"/>
            <w:shd w:val="clear" w:color="auto" w:fill="auto"/>
            <w:noWrap/>
          </w:tcPr>
          <w:p w14:paraId="0430BCA5"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4" w:type="dxa"/>
            <w:shd w:val="clear" w:color="auto" w:fill="auto"/>
            <w:noWrap/>
          </w:tcPr>
          <w:p w14:paraId="5CC1C40E"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42" w:type="dxa"/>
            <w:shd w:val="clear" w:color="auto" w:fill="auto"/>
            <w:noWrap/>
          </w:tcPr>
          <w:p w14:paraId="108B3D2F"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298" w:type="dxa"/>
            <w:shd w:val="clear" w:color="auto" w:fill="auto"/>
            <w:noWrap/>
          </w:tcPr>
          <w:p w14:paraId="48B6DD5C"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417" w:type="dxa"/>
            <w:shd w:val="clear" w:color="auto" w:fill="auto"/>
            <w:noWrap/>
          </w:tcPr>
          <w:p w14:paraId="2A56EF7C"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r>
      <w:tr w:rsidR="00122F85" w14:paraId="2AC6AAFD" w14:textId="77777777">
        <w:trPr>
          <w:trHeight w:val="290"/>
        </w:trPr>
        <w:tc>
          <w:tcPr>
            <w:tcW w:w="959" w:type="dxa"/>
            <w:shd w:val="clear" w:color="auto" w:fill="auto"/>
            <w:noWrap/>
          </w:tcPr>
          <w:p w14:paraId="5B524DC7"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FR</w:t>
            </w:r>
          </w:p>
        </w:tc>
        <w:tc>
          <w:tcPr>
            <w:tcW w:w="1200" w:type="dxa"/>
            <w:shd w:val="clear" w:color="auto" w:fill="auto"/>
            <w:noWrap/>
          </w:tcPr>
          <w:p w14:paraId="7F7EA9A0"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Whole</w:t>
            </w:r>
          </w:p>
        </w:tc>
        <w:tc>
          <w:tcPr>
            <w:tcW w:w="444" w:type="dxa"/>
            <w:shd w:val="clear" w:color="auto" w:fill="auto"/>
            <w:noWrap/>
          </w:tcPr>
          <w:p w14:paraId="393E5344" w14:textId="166B114B" w:rsidR="00122F85" w:rsidRDefault="00CC03BD">
            <w:pPr>
              <w:jc w:val="center"/>
              <w:rPr>
                <w:rFonts w:eastAsia="Times New Roman" w:cs="Calibri"/>
                <w:color w:val="000000"/>
                <w:lang w:val="en-GB" w:eastAsia="en-GB"/>
              </w:rPr>
            </w:pPr>
            <w:r>
              <w:rPr>
                <w:rFonts w:eastAsia="Times New Roman" w:cs="Calibri"/>
                <w:color w:val="000000"/>
                <w:lang w:val="en-GB" w:eastAsia="en-GB"/>
              </w:rPr>
              <w:t>X</w:t>
            </w:r>
          </w:p>
        </w:tc>
        <w:tc>
          <w:tcPr>
            <w:tcW w:w="329" w:type="dxa"/>
            <w:shd w:val="clear" w:color="auto" w:fill="auto"/>
            <w:noWrap/>
          </w:tcPr>
          <w:p w14:paraId="270D2029"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7" w:type="dxa"/>
            <w:shd w:val="clear" w:color="auto" w:fill="auto"/>
            <w:noWrap/>
          </w:tcPr>
          <w:p w14:paraId="3D97912C"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4" w:type="dxa"/>
            <w:shd w:val="clear" w:color="auto" w:fill="auto"/>
            <w:noWrap/>
          </w:tcPr>
          <w:p w14:paraId="7AA91B60"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42" w:type="dxa"/>
            <w:shd w:val="clear" w:color="auto" w:fill="auto"/>
            <w:noWrap/>
          </w:tcPr>
          <w:p w14:paraId="448C1C46"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298" w:type="dxa"/>
            <w:shd w:val="clear" w:color="auto" w:fill="auto"/>
            <w:noWrap/>
          </w:tcPr>
          <w:p w14:paraId="4E258092"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417" w:type="dxa"/>
            <w:shd w:val="clear" w:color="auto" w:fill="auto"/>
            <w:noWrap/>
          </w:tcPr>
          <w:p w14:paraId="0FC24466"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r>
      <w:tr w:rsidR="00122F85" w14:paraId="38E7605E" w14:textId="77777777">
        <w:trPr>
          <w:trHeight w:val="290"/>
        </w:trPr>
        <w:tc>
          <w:tcPr>
            <w:tcW w:w="959" w:type="dxa"/>
            <w:shd w:val="clear" w:color="auto" w:fill="auto"/>
            <w:noWrap/>
          </w:tcPr>
          <w:p w14:paraId="229A6CA6"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RV</w:t>
            </w:r>
          </w:p>
        </w:tc>
        <w:tc>
          <w:tcPr>
            <w:tcW w:w="1200" w:type="dxa"/>
            <w:shd w:val="clear" w:color="auto" w:fill="auto"/>
            <w:noWrap/>
          </w:tcPr>
          <w:p w14:paraId="1946F3C0"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Whole</w:t>
            </w:r>
          </w:p>
        </w:tc>
        <w:tc>
          <w:tcPr>
            <w:tcW w:w="444" w:type="dxa"/>
            <w:shd w:val="clear" w:color="auto" w:fill="auto"/>
            <w:noWrap/>
          </w:tcPr>
          <w:p w14:paraId="5201BF40"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29" w:type="dxa"/>
            <w:shd w:val="clear" w:color="auto" w:fill="auto"/>
            <w:noWrap/>
          </w:tcPr>
          <w:p w14:paraId="2812E46D"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7" w:type="dxa"/>
            <w:shd w:val="clear" w:color="auto" w:fill="auto"/>
            <w:noWrap/>
          </w:tcPr>
          <w:p w14:paraId="77D1EBD5"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14" w:type="dxa"/>
            <w:shd w:val="clear" w:color="auto" w:fill="auto"/>
            <w:noWrap/>
          </w:tcPr>
          <w:p w14:paraId="4B513A19"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42" w:type="dxa"/>
            <w:shd w:val="clear" w:color="auto" w:fill="auto"/>
            <w:noWrap/>
          </w:tcPr>
          <w:p w14:paraId="062EA455"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298" w:type="dxa"/>
            <w:shd w:val="clear" w:color="auto" w:fill="auto"/>
            <w:noWrap/>
          </w:tcPr>
          <w:p w14:paraId="4662FCC9"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417" w:type="dxa"/>
            <w:shd w:val="clear" w:color="auto" w:fill="auto"/>
            <w:noWrap/>
          </w:tcPr>
          <w:p w14:paraId="5E8895CA" w14:textId="77777777" w:rsidR="00122F85" w:rsidRDefault="003D5F70">
            <w:pPr>
              <w:jc w:val="center"/>
              <w:rPr>
                <w:rFonts w:eastAsia="Times New Roman" w:cs="Calibri"/>
                <w:color w:val="000000"/>
                <w:sz w:val="20"/>
                <w:szCs w:val="20"/>
                <w:lang w:val="en-GB" w:eastAsia="en-GB"/>
              </w:rPr>
            </w:pPr>
            <w:r>
              <w:rPr>
                <w:rFonts w:eastAsia="Times New Roman" w:cs="Calibri"/>
                <w:color w:val="000000"/>
                <w:sz w:val="20"/>
                <w:szCs w:val="20"/>
                <w:lang w:val="en-GB" w:eastAsia="en-GB"/>
              </w:rPr>
              <w:t>X</w:t>
            </w:r>
          </w:p>
        </w:tc>
      </w:tr>
      <w:tr w:rsidR="00122F85" w14:paraId="4756E4DA" w14:textId="77777777">
        <w:trPr>
          <w:trHeight w:val="290"/>
        </w:trPr>
        <w:tc>
          <w:tcPr>
            <w:tcW w:w="959" w:type="dxa"/>
            <w:shd w:val="clear" w:color="auto" w:fill="auto"/>
            <w:noWrap/>
          </w:tcPr>
          <w:p w14:paraId="1F68C4E6"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RV</w:t>
            </w:r>
          </w:p>
        </w:tc>
        <w:tc>
          <w:tcPr>
            <w:tcW w:w="1200" w:type="dxa"/>
            <w:shd w:val="clear" w:color="auto" w:fill="auto"/>
            <w:noWrap/>
          </w:tcPr>
          <w:p w14:paraId="115681BA"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Sapwood</w:t>
            </w:r>
          </w:p>
        </w:tc>
        <w:tc>
          <w:tcPr>
            <w:tcW w:w="444" w:type="dxa"/>
            <w:shd w:val="clear" w:color="auto" w:fill="auto"/>
            <w:noWrap/>
          </w:tcPr>
          <w:p w14:paraId="3EBB6BB3" w14:textId="2B3A7B24" w:rsidR="00122F85" w:rsidRDefault="00CC03BD">
            <w:pPr>
              <w:jc w:val="center"/>
              <w:rPr>
                <w:rFonts w:eastAsia="Times New Roman" w:cs="Calibri"/>
                <w:color w:val="000000"/>
                <w:lang w:val="en-GB" w:eastAsia="en-GB"/>
              </w:rPr>
            </w:pPr>
            <w:r>
              <w:rPr>
                <w:rFonts w:eastAsia="Times New Roman" w:cs="Calibri"/>
                <w:color w:val="000000"/>
                <w:lang w:val="en-GB" w:eastAsia="en-GB"/>
              </w:rPr>
              <w:t>X</w:t>
            </w:r>
          </w:p>
        </w:tc>
        <w:tc>
          <w:tcPr>
            <w:tcW w:w="329" w:type="dxa"/>
            <w:shd w:val="clear" w:color="auto" w:fill="auto"/>
            <w:noWrap/>
          </w:tcPr>
          <w:p w14:paraId="371F9588"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17" w:type="dxa"/>
            <w:shd w:val="clear" w:color="auto" w:fill="auto"/>
            <w:noWrap/>
          </w:tcPr>
          <w:p w14:paraId="51B864A3"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4" w:type="dxa"/>
            <w:shd w:val="clear" w:color="auto" w:fill="auto"/>
            <w:noWrap/>
          </w:tcPr>
          <w:p w14:paraId="29F9A013"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42" w:type="dxa"/>
            <w:shd w:val="clear" w:color="auto" w:fill="auto"/>
            <w:noWrap/>
          </w:tcPr>
          <w:p w14:paraId="687ED117"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298" w:type="dxa"/>
            <w:shd w:val="clear" w:color="auto" w:fill="auto"/>
            <w:noWrap/>
          </w:tcPr>
          <w:p w14:paraId="6428578A"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417" w:type="dxa"/>
            <w:shd w:val="clear" w:color="auto" w:fill="auto"/>
            <w:noWrap/>
          </w:tcPr>
          <w:p w14:paraId="7AB33075"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r>
      <w:tr w:rsidR="00122F85" w14:paraId="0DE15B24" w14:textId="77777777">
        <w:trPr>
          <w:trHeight w:val="290"/>
        </w:trPr>
        <w:tc>
          <w:tcPr>
            <w:tcW w:w="959" w:type="dxa"/>
            <w:shd w:val="clear" w:color="auto" w:fill="auto"/>
            <w:noWrap/>
          </w:tcPr>
          <w:p w14:paraId="6B964BD8"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lastRenderedPageBreak/>
              <w:t>RV</w:t>
            </w:r>
          </w:p>
        </w:tc>
        <w:tc>
          <w:tcPr>
            <w:tcW w:w="1200" w:type="dxa"/>
            <w:shd w:val="clear" w:color="auto" w:fill="auto"/>
            <w:noWrap/>
          </w:tcPr>
          <w:p w14:paraId="7FE896B3"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Heartwood</w:t>
            </w:r>
          </w:p>
        </w:tc>
        <w:tc>
          <w:tcPr>
            <w:tcW w:w="444" w:type="dxa"/>
            <w:shd w:val="clear" w:color="auto" w:fill="auto"/>
            <w:noWrap/>
          </w:tcPr>
          <w:p w14:paraId="18EA4D56" w14:textId="06513DFB" w:rsidR="00122F85" w:rsidRDefault="00CC03BD">
            <w:pPr>
              <w:jc w:val="center"/>
              <w:rPr>
                <w:rFonts w:eastAsia="Times New Roman" w:cs="Calibri"/>
                <w:color w:val="000000"/>
                <w:lang w:val="en-GB" w:eastAsia="en-GB"/>
              </w:rPr>
            </w:pPr>
            <w:r>
              <w:rPr>
                <w:rFonts w:eastAsia="Times New Roman" w:cs="Calibri"/>
                <w:color w:val="000000"/>
                <w:lang w:val="en-GB" w:eastAsia="en-GB"/>
              </w:rPr>
              <w:t>X</w:t>
            </w:r>
          </w:p>
        </w:tc>
        <w:tc>
          <w:tcPr>
            <w:tcW w:w="329" w:type="dxa"/>
            <w:shd w:val="clear" w:color="auto" w:fill="auto"/>
            <w:noWrap/>
          </w:tcPr>
          <w:p w14:paraId="6FA59CE7"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17" w:type="dxa"/>
            <w:shd w:val="clear" w:color="auto" w:fill="auto"/>
            <w:noWrap/>
          </w:tcPr>
          <w:p w14:paraId="3F8140C1"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4" w:type="dxa"/>
            <w:shd w:val="clear" w:color="auto" w:fill="auto"/>
            <w:noWrap/>
          </w:tcPr>
          <w:p w14:paraId="5C9E093F"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42" w:type="dxa"/>
            <w:shd w:val="clear" w:color="auto" w:fill="auto"/>
            <w:noWrap/>
          </w:tcPr>
          <w:p w14:paraId="35D5ADA0"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298" w:type="dxa"/>
            <w:shd w:val="clear" w:color="auto" w:fill="auto"/>
            <w:noWrap/>
          </w:tcPr>
          <w:p w14:paraId="617290A4"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417" w:type="dxa"/>
            <w:shd w:val="clear" w:color="auto" w:fill="auto"/>
            <w:noWrap/>
          </w:tcPr>
          <w:p w14:paraId="0323C24B"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r>
      <w:tr w:rsidR="00122F85" w14:paraId="6F335842" w14:textId="77777777">
        <w:trPr>
          <w:trHeight w:val="290"/>
        </w:trPr>
        <w:tc>
          <w:tcPr>
            <w:tcW w:w="959" w:type="dxa"/>
            <w:shd w:val="clear" w:color="auto" w:fill="auto"/>
            <w:noWrap/>
          </w:tcPr>
          <w:p w14:paraId="197227C9"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TP</w:t>
            </w:r>
          </w:p>
        </w:tc>
        <w:tc>
          <w:tcPr>
            <w:tcW w:w="1200" w:type="dxa"/>
            <w:shd w:val="clear" w:color="auto" w:fill="auto"/>
            <w:noWrap/>
          </w:tcPr>
          <w:p w14:paraId="4B6CFADF"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Whole</w:t>
            </w:r>
          </w:p>
        </w:tc>
        <w:tc>
          <w:tcPr>
            <w:tcW w:w="444" w:type="dxa"/>
            <w:shd w:val="clear" w:color="auto" w:fill="auto"/>
            <w:noWrap/>
          </w:tcPr>
          <w:p w14:paraId="2EE12756"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29" w:type="dxa"/>
            <w:shd w:val="clear" w:color="auto" w:fill="auto"/>
            <w:noWrap/>
          </w:tcPr>
          <w:p w14:paraId="0EAEDE6B"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7" w:type="dxa"/>
            <w:shd w:val="clear" w:color="auto" w:fill="auto"/>
            <w:noWrap/>
          </w:tcPr>
          <w:p w14:paraId="65976FFB"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14" w:type="dxa"/>
            <w:shd w:val="clear" w:color="auto" w:fill="auto"/>
            <w:noWrap/>
          </w:tcPr>
          <w:p w14:paraId="7DAFEA77"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42" w:type="dxa"/>
            <w:shd w:val="clear" w:color="auto" w:fill="auto"/>
            <w:noWrap/>
          </w:tcPr>
          <w:p w14:paraId="60C2C1DA"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298" w:type="dxa"/>
            <w:shd w:val="clear" w:color="auto" w:fill="auto"/>
            <w:noWrap/>
          </w:tcPr>
          <w:p w14:paraId="2A93B452"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417" w:type="dxa"/>
            <w:shd w:val="clear" w:color="auto" w:fill="auto"/>
            <w:noWrap/>
          </w:tcPr>
          <w:p w14:paraId="7F796562"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r>
      <w:tr w:rsidR="00122F85" w14:paraId="4490E91B" w14:textId="77777777">
        <w:trPr>
          <w:trHeight w:val="290"/>
        </w:trPr>
        <w:tc>
          <w:tcPr>
            <w:tcW w:w="959" w:type="dxa"/>
            <w:shd w:val="clear" w:color="auto" w:fill="auto"/>
            <w:noWrap/>
          </w:tcPr>
          <w:p w14:paraId="1FCDDF54"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TP</w:t>
            </w:r>
          </w:p>
        </w:tc>
        <w:tc>
          <w:tcPr>
            <w:tcW w:w="1200" w:type="dxa"/>
            <w:shd w:val="clear" w:color="auto" w:fill="auto"/>
            <w:noWrap/>
          </w:tcPr>
          <w:p w14:paraId="37FD5D07"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Sapwood</w:t>
            </w:r>
          </w:p>
        </w:tc>
        <w:tc>
          <w:tcPr>
            <w:tcW w:w="444" w:type="dxa"/>
            <w:shd w:val="clear" w:color="auto" w:fill="auto"/>
            <w:noWrap/>
          </w:tcPr>
          <w:p w14:paraId="0DE6A246" w14:textId="683E8D22" w:rsidR="00122F85" w:rsidRDefault="00CC03BD">
            <w:pPr>
              <w:jc w:val="center"/>
              <w:rPr>
                <w:rFonts w:eastAsia="Times New Roman" w:cs="Calibri"/>
                <w:color w:val="000000"/>
                <w:lang w:val="en-GB" w:eastAsia="en-GB"/>
              </w:rPr>
            </w:pPr>
            <w:r>
              <w:rPr>
                <w:rFonts w:eastAsia="Times New Roman" w:cs="Calibri"/>
                <w:color w:val="000000"/>
                <w:lang w:val="en-GB" w:eastAsia="en-GB"/>
              </w:rPr>
              <w:t>X</w:t>
            </w:r>
          </w:p>
        </w:tc>
        <w:tc>
          <w:tcPr>
            <w:tcW w:w="329" w:type="dxa"/>
            <w:shd w:val="clear" w:color="auto" w:fill="auto"/>
            <w:noWrap/>
          </w:tcPr>
          <w:p w14:paraId="63EC0AE7"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17" w:type="dxa"/>
            <w:shd w:val="clear" w:color="auto" w:fill="auto"/>
            <w:noWrap/>
          </w:tcPr>
          <w:p w14:paraId="716B37F3"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4" w:type="dxa"/>
            <w:shd w:val="clear" w:color="auto" w:fill="auto"/>
            <w:noWrap/>
          </w:tcPr>
          <w:p w14:paraId="394E6508"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42" w:type="dxa"/>
            <w:shd w:val="clear" w:color="auto" w:fill="auto"/>
            <w:noWrap/>
          </w:tcPr>
          <w:p w14:paraId="0F86B236"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298" w:type="dxa"/>
            <w:shd w:val="clear" w:color="auto" w:fill="auto"/>
            <w:noWrap/>
          </w:tcPr>
          <w:p w14:paraId="3D6F6DFA"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417" w:type="dxa"/>
            <w:shd w:val="clear" w:color="auto" w:fill="auto"/>
            <w:noWrap/>
          </w:tcPr>
          <w:p w14:paraId="76DAD7AC"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r>
      <w:tr w:rsidR="00122F85" w14:paraId="435CF095" w14:textId="77777777">
        <w:trPr>
          <w:trHeight w:val="290"/>
        </w:trPr>
        <w:tc>
          <w:tcPr>
            <w:tcW w:w="959" w:type="dxa"/>
            <w:tcBorders>
              <w:bottom w:val="single" w:sz="4" w:space="0" w:color="auto"/>
            </w:tcBorders>
            <w:shd w:val="clear" w:color="auto" w:fill="auto"/>
            <w:noWrap/>
          </w:tcPr>
          <w:p w14:paraId="064B81F6"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TP</w:t>
            </w:r>
          </w:p>
        </w:tc>
        <w:tc>
          <w:tcPr>
            <w:tcW w:w="1200" w:type="dxa"/>
            <w:tcBorders>
              <w:bottom w:val="single" w:sz="4" w:space="0" w:color="auto"/>
            </w:tcBorders>
            <w:shd w:val="clear" w:color="auto" w:fill="auto"/>
            <w:noWrap/>
          </w:tcPr>
          <w:p w14:paraId="19C562FB"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Heartwood</w:t>
            </w:r>
          </w:p>
        </w:tc>
        <w:tc>
          <w:tcPr>
            <w:tcW w:w="444" w:type="dxa"/>
            <w:tcBorders>
              <w:bottom w:val="single" w:sz="4" w:space="0" w:color="auto"/>
            </w:tcBorders>
            <w:shd w:val="clear" w:color="auto" w:fill="auto"/>
            <w:noWrap/>
          </w:tcPr>
          <w:p w14:paraId="4472FBE5" w14:textId="562AB7EB" w:rsidR="00122F85" w:rsidRDefault="00CC03BD">
            <w:pPr>
              <w:jc w:val="center"/>
              <w:rPr>
                <w:rFonts w:eastAsia="Times New Roman" w:cs="Calibri"/>
                <w:color w:val="000000"/>
                <w:lang w:val="en-GB" w:eastAsia="en-GB"/>
              </w:rPr>
            </w:pPr>
            <w:r>
              <w:rPr>
                <w:rFonts w:eastAsia="Times New Roman" w:cs="Calibri"/>
                <w:color w:val="000000"/>
                <w:lang w:val="en-GB" w:eastAsia="en-GB"/>
              </w:rPr>
              <w:t>X</w:t>
            </w:r>
          </w:p>
        </w:tc>
        <w:tc>
          <w:tcPr>
            <w:tcW w:w="329" w:type="dxa"/>
            <w:tcBorders>
              <w:bottom w:val="single" w:sz="4" w:space="0" w:color="auto"/>
            </w:tcBorders>
            <w:shd w:val="clear" w:color="auto" w:fill="auto"/>
            <w:noWrap/>
          </w:tcPr>
          <w:p w14:paraId="0A364953"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c>
          <w:tcPr>
            <w:tcW w:w="317" w:type="dxa"/>
            <w:tcBorders>
              <w:bottom w:val="single" w:sz="4" w:space="0" w:color="auto"/>
            </w:tcBorders>
            <w:shd w:val="clear" w:color="auto" w:fill="auto"/>
            <w:noWrap/>
          </w:tcPr>
          <w:p w14:paraId="5FA7B36B"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14" w:type="dxa"/>
            <w:tcBorders>
              <w:bottom w:val="single" w:sz="4" w:space="0" w:color="auto"/>
            </w:tcBorders>
            <w:shd w:val="clear" w:color="auto" w:fill="auto"/>
            <w:noWrap/>
          </w:tcPr>
          <w:p w14:paraId="3F9AE78A"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342" w:type="dxa"/>
            <w:tcBorders>
              <w:bottom w:val="single" w:sz="4" w:space="0" w:color="auto"/>
            </w:tcBorders>
            <w:shd w:val="clear" w:color="auto" w:fill="auto"/>
            <w:noWrap/>
          </w:tcPr>
          <w:p w14:paraId="34B1608A"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298" w:type="dxa"/>
            <w:tcBorders>
              <w:bottom w:val="single" w:sz="4" w:space="0" w:color="auto"/>
            </w:tcBorders>
            <w:shd w:val="clear" w:color="auto" w:fill="auto"/>
            <w:noWrap/>
          </w:tcPr>
          <w:p w14:paraId="13D16BF2"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x</w:t>
            </w:r>
          </w:p>
        </w:tc>
        <w:tc>
          <w:tcPr>
            <w:tcW w:w="417" w:type="dxa"/>
            <w:tcBorders>
              <w:bottom w:val="single" w:sz="4" w:space="0" w:color="auto"/>
            </w:tcBorders>
            <w:shd w:val="clear" w:color="auto" w:fill="auto"/>
            <w:noWrap/>
          </w:tcPr>
          <w:p w14:paraId="6426E646" w14:textId="77777777" w:rsidR="00122F85" w:rsidRDefault="003D5F70">
            <w:pPr>
              <w:jc w:val="center"/>
              <w:rPr>
                <w:rFonts w:eastAsia="Times New Roman" w:cs="Calibri"/>
                <w:color w:val="000000"/>
                <w:lang w:val="en-GB" w:eastAsia="en-GB"/>
              </w:rPr>
            </w:pPr>
            <w:r>
              <w:rPr>
                <w:rFonts w:eastAsia="Times New Roman" w:cs="Calibri"/>
                <w:color w:val="000000"/>
                <w:lang w:val="en-GB" w:eastAsia="en-GB"/>
              </w:rPr>
              <w:t>n.a.</w:t>
            </w:r>
          </w:p>
        </w:tc>
      </w:tr>
    </w:tbl>
    <w:p w14:paraId="5F866635" w14:textId="12F3AFC6" w:rsidR="00122F85" w:rsidRDefault="003D5F70">
      <w:pPr>
        <w:rPr>
          <w:lang w:val="en-GB"/>
        </w:rPr>
      </w:pPr>
      <w:r>
        <w:rPr>
          <w:b/>
          <w:lang w:val="en-GB"/>
        </w:rPr>
        <w:t xml:space="preserve">Table </w:t>
      </w:r>
      <w:r w:rsidR="00CC03BD">
        <w:rPr>
          <w:b/>
          <w:lang w:val="en-GB"/>
        </w:rPr>
        <w:t>3</w:t>
      </w:r>
      <w:r>
        <w:rPr>
          <w:b/>
          <w:lang w:val="en-GB"/>
        </w:rPr>
        <w:t>.</w:t>
      </w:r>
      <w:r>
        <w:rPr>
          <w:lang w:val="en-GB"/>
        </w:rPr>
        <w:t xml:space="preserve"> Sample set: available samples grouped according to tree species, wood type and treatment (x=available, n.a.=not available).</w:t>
      </w:r>
    </w:p>
    <w:p w14:paraId="420BF68A" w14:textId="77777777" w:rsidR="00122F85" w:rsidRDefault="00122F85">
      <w:pPr>
        <w:spacing w:line="360" w:lineRule="auto"/>
        <w:rPr>
          <w:lang w:val="en-GB"/>
        </w:rPr>
      </w:pPr>
    </w:p>
    <w:p w14:paraId="5FFDEC90" w14:textId="74DE4B0A" w:rsidR="00122F85" w:rsidRDefault="003D5F70">
      <w:pPr>
        <w:spacing w:line="360" w:lineRule="auto"/>
        <w:jc w:val="both"/>
        <w:rPr>
          <w:lang w:val="en-GB"/>
        </w:rPr>
      </w:pPr>
      <w:r>
        <w:rPr>
          <w:lang w:val="en-GB"/>
        </w:rPr>
        <w:t>The whole PTR-ToF-MS dataset consisted of 289 and 300 mass peaks for softwood and hardwood, respectively. After additional inspection of the dataset, mass peaks with headspace concentration &lt; 1 ppbV were excluded, along with redundant data (</w:t>
      </w:r>
      <w:r w:rsidRPr="00B31BC8">
        <w:rPr>
          <w:vertAlign w:val="superscript"/>
          <w:lang w:val="en-GB"/>
        </w:rPr>
        <w:t>13</w:t>
      </w:r>
      <w:r>
        <w:rPr>
          <w:lang w:val="en-GB"/>
        </w:rPr>
        <w:t xml:space="preserve">C isotopologues and water adducts). This eventually resulted in 99 mass peaks, common to both hardwood and softwood. For some very abundant VOCs, signal saturation of the </w:t>
      </w:r>
      <w:r>
        <w:rPr>
          <w:vertAlign w:val="superscript"/>
        </w:rPr>
        <w:t>12</w:t>
      </w:r>
      <w:r>
        <w:t>C</w:t>
      </w:r>
      <w:r>
        <w:rPr>
          <w:lang w:val="en-GB"/>
        </w:rPr>
        <w:t xml:space="preserve"> isotopologue mass peak was observed: we therefore used the </w:t>
      </w:r>
      <w:r>
        <w:rPr>
          <w:vertAlign w:val="superscript"/>
        </w:rPr>
        <w:t>13</w:t>
      </w:r>
      <w:r>
        <w:t>C isotopologue and used theoretical isotopic abundance to extrapolate the actual headspace concentration</w:t>
      </w:r>
      <w:r w:rsidR="00945587">
        <w:t>.</w:t>
      </w:r>
      <w:r>
        <w:rPr>
          <w:lang w:val="en-GB"/>
        </w:rPr>
        <w:t xml:space="preserve"> </w:t>
      </w:r>
    </w:p>
    <w:p w14:paraId="2B6947C0" w14:textId="77777777" w:rsidR="00122F85" w:rsidRDefault="003D5F70">
      <w:pPr>
        <w:spacing w:line="360" w:lineRule="auto"/>
        <w:jc w:val="both"/>
      </w:pPr>
      <w:r>
        <w:t xml:space="preserve">Figure 2 provides a graphic representation (heatmap) of all VOC profiles, where samples and mass peaks are grouped by means of hierarchical cluster analysis and sorted accordingly. In the heatmap, closely clustered columns represent wood samples that are similar in terms of VOC emission. A major separation is highlighted between untreated and treated samples, placed on the left- and right-hand side of the heatmap, respectively.  This is not surprising, since </w:t>
      </w:r>
      <w:r>
        <w:rPr>
          <w:lang w:val="en-GB"/>
        </w:rPr>
        <w:t xml:space="preserve">during thermal treatment, several processes take place modifying the release profile: some VOCs are lost or reduced by evaporation, while others are increased as a result of an improved extractability from the wood tissue or generated </w:t>
      </w:r>
      <w:r>
        <w:rPr>
          <w:i/>
          <w:iCs/>
          <w:lang w:val="en-GB"/>
        </w:rPr>
        <w:t>ex-novo</w:t>
      </w:r>
      <w:r>
        <w:rPr>
          <w:lang w:val="en-GB"/>
        </w:rPr>
        <w:t xml:space="preserve"> by thermally induced transformation of non-volatile wood compounds.</w:t>
      </w:r>
    </w:p>
    <w:p w14:paraId="00F258C3" w14:textId="705614BF" w:rsidR="00122F85" w:rsidRDefault="003D5F70">
      <w:pPr>
        <w:spacing w:line="360" w:lineRule="auto"/>
        <w:jc w:val="both"/>
      </w:pPr>
      <w:r>
        <w:t xml:space="preserve">Looking at unmodified wood samples (NT), these can be roughly subdivided into softwood (AR, PS) and hardwood (FG, FR, RV,TP) based on their VOC profiles, with the former displaying higher overall emission. As for TMW, cluster analysis also highlights the separation between softwood and hardwood. The evolution of VOC profiles with thermal treament is in agreement with literature </w:t>
      </w:r>
      <w:r>
        <w:fldChar w:fldCharType="begin"/>
      </w:r>
      <w:r w:rsidR="001052AE">
        <w:instrText xml:space="preserve"> ADDIN ZOTERO_ITEM CSL_CITATION {"citationID":"0nH8wiQN","properties":{"formattedCitation":"[6]","plainCitation":"[6]","noteIndex":0},"citationItems":[{"id":"yKhL7Zc1/mVQn9IPi","uris":["http://zotero.org/users/local/2u4mFVJQ/items/B5GV8GEA"],"itemData":{"id":8,"type":"article-journal","container-title":"Wood and Fiber Science","DOI":"10.22382/wfs-2019-023","ISSN":"07356161, 07356161","issue":"3","journalAbbreviation":"WFS","page":"231-254","source":"DOI.org (Crossref)","title":"VOLATILE ORGANIC COMPOUNDS EMITTED FROM UNTREATED AND THERMALLY MODIFIED WOOD - A REVIEW","volume":"51","author":[{"family":"Pohleven","given":"Jure"},{"family":"Burnard","given":"Michael"},{"family":"Kutnar","given":"Andreja"}],"issued":{"date-parts":[["2019",7,31]]}}}],"schema":"https://github.com/citation-style-language/schema/raw/master/csl-citation.json"} </w:instrText>
      </w:r>
      <w:r>
        <w:fldChar w:fldCharType="separate"/>
      </w:r>
      <w:r w:rsidR="001052AE" w:rsidRPr="001052AE">
        <w:rPr>
          <w:rFonts w:ascii="Cambria" w:hAnsi="Cambria"/>
        </w:rPr>
        <w:t>[6]</w:t>
      </w:r>
      <w:r>
        <w:fldChar w:fldCharType="end"/>
      </w:r>
      <w:r>
        <w:t>: in softwood some VOCs decrease while others increase whereas in hardwood, which had lower overall emission</w:t>
      </w:r>
      <w:r w:rsidR="00EB7267">
        <w:t>s</w:t>
      </w:r>
      <w:r>
        <w:t xml:space="preserve">, several VOCs increase significantly.  </w:t>
      </w:r>
    </w:p>
    <w:p w14:paraId="6C43D34E" w14:textId="656CCCF1" w:rsidR="009A1BB9" w:rsidRDefault="003D5F70">
      <w:pPr>
        <w:spacing w:line="360" w:lineRule="auto"/>
        <w:jc w:val="both"/>
      </w:pPr>
      <w:r>
        <w:rPr>
          <w:lang w:val="en-GB"/>
        </w:rPr>
        <w:t xml:space="preserve">In order to support accurate mass-based tentative identification </w:t>
      </w:r>
      <w:r>
        <w:t>of the VOCs obtained in the wood sample headspace using PTR-ToF-MS, we conducted cross-platform validation using SPME</w:t>
      </w:r>
      <w:r w:rsidR="008E22F8">
        <w:t>-</w:t>
      </w:r>
      <w:r>
        <w:t>GC</w:t>
      </w:r>
      <w:r w:rsidR="008E22F8">
        <w:t>-</w:t>
      </w:r>
      <w:r>
        <w:t xml:space="preserve">MS on a subset of the samples. Whenever </w:t>
      </w:r>
      <w:r>
        <w:lastRenderedPageBreak/>
        <w:t xml:space="preserve">possible, </w:t>
      </w:r>
      <w:r w:rsidR="008E22F8">
        <w:t>SPME-</w:t>
      </w:r>
      <w:r>
        <w:t xml:space="preserve">GC-MS data </w:t>
      </w:r>
      <w:r w:rsidR="008E22F8">
        <w:t xml:space="preserve">was used </w:t>
      </w:r>
      <w:r>
        <w:t>to support tentative identifications</w:t>
      </w:r>
      <w:r w:rsidR="002309A7">
        <w:t xml:space="preserve">: a complete list of the </w:t>
      </w:r>
      <w:r w:rsidR="00DC65B4">
        <w:t>mass peaks with respective tentative identification</w:t>
      </w:r>
      <w:r w:rsidR="009F38F9">
        <w:t>s</w:t>
      </w:r>
      <w:r w:rsidR="00DC65B4">
        <w:t xml:space="preserve"> is supplied in </w:t>
      </w:r>
      <w:r>
        <w:t xml:space="preserve">Supplementary </w:t>
      </w:r>
      <w:r w:rsidR="00E5696D">
        <w:t>– S</w:t>
      </w:r>
      <w:r w:rsidR="00561377">
        <w:t>1</w:t>
      </w:r>
      <w:r>
        <w:t>.</w:t>
      </w:r>
    </w:p>
    <w:p w14:paraId="304173B9" w14:textId="11C8EC3F" w:rsidR="00122F85" w:rsidRPr="00EF6C2C" w:rsidRDefault="009A1BB9" w:rsidP="00EF6C2C">
      <w:r>
        <w:br w:type="page"/>
      </w:r>
    </w:p>
    <w:p w14:paraId="010E4676" w14:textId="33B202EC" w:rsidR="00122F85" w:rsidRDefault="00890935">
      <w:pPr>
        <w:rPr>
          <w:b/>
          <w:lang w:val="en-GB"/>
        </w:rPr>
      </w:pPr>
      <w:r>
        <w:rPr>
          <w:b/>
          <w:noProof/>
          <w:lang w:val="en-GB"/>
        </w:rPr>
        <w:lastRenderedPageBreak/>
        <w:drawing>
          <wp:inline distT="0" distB="0" distL="0" distR="0" wp14:anchorId="4F26EEE0" wp14:editId="29C26C84">
            <wp:extent cx="5274310" cy="8288020"/>
            <wp:effectExtent l="0" t="0" r="2540" b="0"/>
            <wp:docPr id="4" name="Picture 4"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diagram&#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5274310" cy="8288020"/>
                    </a:xfrm>
                    <a:prstGeom prst="rect">
                      <a:avLst/>
                    </a:prstGeom>
                  </pic:spPr>
                </pic:pic>
              </a:graphicData>
            </a:graphic>
          </wp:inline>
        </w:drawing>
      </w:r>
    </w:p>
    <w:p w14:paraId="1BB1C3E8" w14:textId="77777777" w:rsidR="00122F85" w:rsidRDefault="003D5F70">
      <w:pPr>
        <w:jc w:val="both"/>
        <w:rPr>
          <w:b/>
          <w:lang w:val="en-GB"/>
        </w:rPr>
      </w:pPr>
      <w:r>
        <w:rPr>
          <w:b/>
          <w:lang w:val="en-GB"/>
        </w:rPr>
        <w:t xml:space="preserve">Figure 2. </w:t>
      </w:r>
      <w:r>
        <w:rPr>
          <w:lang w:val="en-GB"/>
        </w:rPr>
        <w:t>Heatmap of wood headspace VOC profiles. Data are log transformed, autoscaled and centered. Rows represent mass peaks and columns represent samples, averaged over all analytical replicates.</w:t>
      </w:r>
      <w:r>
        <w:rPr>
          <w:lang w:val="en-GB"/>
        </w:rPr>
        <w:br w:type="page"/>
      </w:r>
    </w:p>
    <w:p w14:paraId="0DB5671D" w14:textId="5E072D42" w:rsidR="00122F85" w:rsidRDefault="003D5F70">
      <w:pPr>
        <w:spacing w:line="360" w:lineRule="auto"/>
        <w:jc w:val="both"/>
      </w:pPr>
      <w:r>
        <w:lastRenderedPageBreak/>
        <w:t>In the heatmap, closely clustered rows represent VOCs that display similar behaviour across all samples. Interestingly, VOCs belonging to the same chemical class are often clustered together or occupy neighbouring clusters: this indicates that compounds that are chemically alike respond similarly to thermal treatment, and possibly have similar origin. Looking at the cluster structure, a subdivision into two major groups can be highlighted</w:t>
      </w:r>
      <w:r w:rsidR="00E31045">
        <w:t xml:space="preserve">, occupying </w:t>
      </w:r>
      <w:r w:rsidR="00040927">
        <w:t>the upper and bottom half of the heatmap, respectively</w:t>
      </w:r>
      <w:r>
        <w:t>.</w:t>
      </w:r>
      <w:r w:rsidR="00040927">
        <w:t xml:space="preserve"> </w:t>
      </w:r>
      <w:r w:rsidR="0004086B">
        <w:t xml:space="preserve">Within each of these large </w:t>
      </w:r>
      <w:r w:rsidR="006F1719">
        <w:t>subdivisions</w:t>
      </w:r>
      <w:r w:rsidR="0004086B">
        <w:t>, minor</w:t>
      </w:r>
      <w:r w:rsidR="006F1719">
        <w:t xml:space="preserve"> groupings could be higlighted</w:t>
      </w:r>
      <w:r w:rsidR="006F005D">
        <w:t>:</w:t>
      </w:r>
      <w:r w:rsidR="006F1719">
        <w:t xml:space="preserve"> </w:t>
      </w:r>
      <w:r w:rsidR="006F005D">
        <w:t>these</w:t>
      </w:r>
      <w:r w:rsidR="006F1719">
        <w:t xml:space="preserve"> </w:t>
      </w:r>
      <w:r w:rsidR="001A691B">
        <w:t>were labelled clusters 1-21</w:t>
      </w:r>
      <w:r w:rsidR="00854EF4">
        <w:t xml:space="preserve"> in Figure 2 </w:t>
      </w:r>
      <w:r w:rsidR="001A691B">
        <w:t>and are referred as such</w:t>
      </w:r>
      <w:r w:rsidR="003935FE">
        <w:t>.</w:t>
      </w:r>
      <w:r w:rsidR="001A691B">
        <w:t xml:space="preserve"> </w:t>
      </w:r>
      <w:r w:rsidR="003935FE">
        <w:t>I</w:t>
      </w:r>
      <w:r w:rsidR="00854EF4">
        <w:t>n the following paragraphs</w:t>
      </w:r>
      <w:r w:rsidR="003935FE">
        <w:t xml:space="preserve">, </w:t>
      </w:r>
      <w:r w:rsidR="0012381D">
        <w:t>the behaviour of the different VOCs according to the</w:t>
      </w:r>
      <w:r w:rsidR="00A55286">
        <w:t xml:space="preserve"> respective chemical classes is d</w:t>
      </w:r>
      <w:r w:rsidR="008F57C9">
        <w:t>i</w:t>
      </w:r>
      <w:r w:rsidR="00A55286">
        <w:t xml:space="preserve">scussed: </w:t>
      </w:r>
      <w:r w:rsidR="00B47059">
        <w:t xml:space="preserve">a list of represetnative </w:t>
      </w:r>
      <w:r w:rsidR="00B54D5D">
        <w:t>mass peaks with the respective tentative identifications</w:t>
      </w:r>
      <w:r w:rsidR="00B47059">
        <w:t xml:space="preserve"> is provided in Table 4</w:t>
      </w:r>
      <w:r w:rsidR="00FC4D0F">
        <w:t xml:space="preserve"> and</w:t>
      </w:r>
      <w:r w:rsidR="00B54D5D">
        <w:t xml:space="preserve"> </w:t>
      </w:r>
      <w:r w:rsidR="00FC4D0F">
        <w:t>for some of th</w:t>
      </w:r>
      <w:r w:rsidR="00A04620">
        <w:t>ese mass peaks,</w:t>
      </w:r>
      <w:r w:rsidR="00FC4D0F">
        <w:t xml:space="preserve"> boxplot</w:t>
      </w:r>
      <w:r w:rsidR="00E04C3C">
        <w:t xml:space="preserve"> representations of the results </w:t>
      </w:r>
      <w:r w:rsidR="00FC4D0F">
        <w:t>are provided</w:t>
      </w:r>
      <w:r w:rsidR="00A04620">
        <w:t xml:space="preserve"> in Figure 3 and Figure 4. </w:t>
      </w:r>
      <w:r w:rsidR="00B47059">
        <w:t>T</w:t>
      </w:r>
      <w:r w:rsidR="008F57C9">
        <w:t xml:space="preserve">he complete </w:t>
      </w:r>
      <w:r w:rsidR="00A04620">
        <w:t xml:space="preserve">results </w:t>
      </w:r>
      <w:r w:rsidR="00561377">
        <w:t>are instead provided in Supplementary – S2.</w:t>
      </w:r>
      <w:r w:rsidR="00A55286">
        <w:t xml:space="preserve"> </w:t>
      </w:r>
    </w:p>
    <w:p w14:paraId="03417B9F" w14:textId="3436ED48" w:rsidR="00122F85" w:rsidRDefault="003D5F70">
      <w:pPr>
        <w:spacing w:line="360" w:lineRule="auto"/>
        <w:jc w:val="both"/>
      </w:pPr>
      <w:r>
        <w:t xml:space="preserve">The upper half of the heatmap (Figure 2, clusters 1-8) includes compounds that are more concentrated in softwood, in either NT or TMW, or in both. </w:t>
      </w:r>
    </w:p>
    <w:p w14:paraId="023047D0" w14:textId="0EF775ED" w:rsidR="00122F85" w:rsidRDefault="003D5F70">
      <w:pPr>
        <w:spacing w:line="360" w:lineRule="auto"/>
        <w:jc w:val="both"/>
      </w:pPr>
      <w:r>
        <w:t xml:space="preserve">Cluster 2 contains several mass peaks which can be assigned to terpenes. In coniferous species these compounds are stored in resin canals, where they remain readily accessible </w:t>
      </w:r>
      <w:r>
        <w:fldChar w:fldCharType="begin"/>
      </w:r>
      <w:r w:rsidR="00AD3004">
        <w:instrText xml:space="preserve"> ADDIN ZOTERO_ITEM CSL_CITATION {"citationID":"Kq4gudcx","properties":{"formattedCitation":"[29]","plainCitation":"[29]","noteIndex":0},"citationItems":[{"id":3552,"uris":["http://zotero.org/users/local/FaDQTzcp/items/DJBL3GEW"],"itemData":{"id":3552,"type":"article-journal","container-title":"Journal of Wood Science","DOI":"10.1007/BF00771362","ISSN":"1435-0211, 1611-4663","issue":"3","journalAbbreviation":"J Wood Sci","language":"en","page":"167-170","source":"DOI.org (Crossref)","title":"Pattern of parenchyma and canal resin composition in softwoods and hardwoods","volume":"48","author":[{"family":"Back","given":"Ernst L."}],"issued":{"date-parts":[["2002",6]]}}}],"schema":"https://github.com/citation-style-language/schema/raw/master/csl-citation.json"} </w:instrText>
      </w:r>
      <w:r>
        <w:fldChar w:fldCharType="separate"/>
      </w:r>
      <w:r w:rsidR="00AD3004" w:rsidRPr="00AD3004">
        <w:rPr>
          <w:rFonts w:ascii="Cambria" w:hAnsi="Cambria"/>
        </w:rPr>
        <w:t>[29]</w:t>
      </w:r>
      <w:r>
        <w:fldChar w:fldCharType="end"/>
      </w:r>
      <w:r>
        <w:t xml:space="preserve"> and make up most of softwood VOC emission profile; this is not observed for deciduous tree species, which instead lack resin canals. Thanks to terpenes, softwood gives of a pleasant smell that has been reported to improve mood and reduce stress </w:t>
      </w:r>
      <w:r>
        <w:fldChar w:fldCharType="begin"/>
      </w:r>
      <w:r w:rsidR="00AD3004">
        <w:instrText xml:space="preserve"> ADDIN ZOTERO_ITEM CSL_CITATION {"citationID":"6kdQnPZ2","properties":{"formattedCitation":"[30]","plainCitation":"[30]","noteIndex":0},"citationItems":[{"id":"yKhL7Zc1/2xciGT07","uris":["http://zotero.org/users/local/2u4mFVJQ/items/TTS43GPI"],"itemData":{"id":89,"type":"article-journal","container-title":"Building and Environment","DOI":"10.1016/j.buildenv.2013.10.023","ISSN":"03601323","journalAbbreviation":"Building and Environment","language":"en","page":"125-130","source":"DOI.org (Crossref)","title":"VOCs emitted from Japanese cedar (Cryptomeria japonica) interior walls induce physiological relaxation","volume":"72","author":[{"family":"Matsubara","given":"Eri"},{"family":"Kawai","given":"Shuichi"}],"issued":{"date-parts":[["2014",2]]}}}],"schema":"https://github.com/citation-style-language/schema/raw/master/csl-citation.json"} </w:instrText>
      </w:r>
      <w:r>
        <w:fldChar w:fldCharType="separate"/>
      </w:r>
      <w:r w:rsidR="00AD3004" w:rsidRPr="00AD3004">
        <w:rPr>
          <w:rFonts w:ascii="Cambria" w:hAnsi="Cambria"/>
        </w:rPr>
        <w:t>[30]</w:t>
      </w:r>
      <w:r>
        <w:fldChar w:fldCharType="end"/>
      </w:r>
      <w:r>
        <w:t xml:space="preserve"> even though desirable properties must be carefully weighed against potentially harmful effects as terpenes are known irritants and the EU includes them in the list of compounds of potential concern for construction material emission. Mass peak m/z 138.137 represents the sum of monoterpenes. We observe that in Scots pine monoterpenes alone account for more than 80% of total emission; their levels remain relatively unaltered in the range T = 160-185 °C, showing a sharp drop of two orders of magnitude when T = 200-215 °C (Figure 3). It is well known that thermal treatment speeds up the release of terpenes from wood, causing a drop in their emission </w:t>
      </w:r>
      <w:r>
        <w:fldChar w:fldCharType="begin"/>
      </w:r>
      <w:r w:rsidR="00AD3004">
        <w:instrText xml:space="preserve"> ADDIN ZOTERO_ITEM CSL_CITATION {"citationID":"RRgUyu6n","properties":{"formattedCitation":"[31]","plainCitation":"[31]","noteIndex":0},"citationItems":[{"id":3553,"uris":["http://zotero.org/users/local/FaDQTzcp/items/CPXJTJUY"],"itemData":{"id":3553,"type":"article-journal","container-title":"Molecules","DOI":"10.3390/molecules17089990","ISSN":"1420-3049","issue":"8","journalAbbreviation":"Molecules","language":"en","page":"9990-9999","source":"DOI.org (Crossref)","title":"Release of Terpenes from Fir Wood during Its Long-Term Use and in Thermal Treatment","volume":"17","author":[{"family":"Kačík","given":"František"},{"family":"Veľková","given":"Veronika"},{"family":"Šmíra","given":"Pavel"},{"family":"Nasswettrová","given":"Andrea"},{"family":"Kačíková","given":"Danica"},{"family":"Reinprecht","given":"Ladislav"}],"issued":{"date-parts":[["2012",8,21]]}}}],"schema":"https://github.com/citation-style-language/schema/raw/master/csl-citation.json"} </w:instrText>
      </w:r>
      <w:r>
        <w:fldChar w:fldCharType="separate"/>
      </w:r>
      <w:r w:rsidR="00AD3004" w:rsidRPr="00AD3004">
        <w:rPr>
          <w:rFonts w:ascii="Cambria" w:hAnsi="Cambria"/>
        </w:rPr>
        <w:t>[31]</w:t>
      </w:r>
      <w:r>
        <w:fldChar w:fldCharType="end"/>
      </w:r>
      <w:r>
        <w:t>. In Norway spruce any thermal treatment</w:t>
      </w:r>
      <w:r w:rsidR="00344F7E">
        <w:t xml:space="preserve"> always results in a significant decrease in terpene emissions </w:t>
      </w:r>
      <w:r>
        <w:t>with the exception of T = 200 °C (treatment C). Mass peak m/z 205.196 is also relevant to terpene chemistry as it can be assigned to sesquiterpenes</w:t>
      </w:r>
      <w:r w:rsidR="00CC2ED1">
        <w:t>,</w:t>
      </w:r>
      <w:r>
        <w:t xml:space="preserve"> </w:t>
      </w:r>
      <w:r w:rsidR="00CC2ED1">
        <w:t xml:space="preserve">which </w:t>
      </w:r>
      <w:r w:rsidR="00DF2E09">
        <w:lastRenderedPageBreak/>
        <w:t>can be</w:t>
      </w:r>
      <w:r>
        <w:t xml:space="preserve"> detected in high concentration in the headspace of softwood samples and react to thermal treatment similarly to mono</w:t>
      </w:r>
      <w:r w:rsidR="00C4539B">
        <w:t>t</w:t>
      </w:r>
      <w:r>
        <w:t>erpenes (Supplementar</w:t>
      </w:r>
      <w:r w:rsidR="00344F7E">
        <w:t>y - S2</w:t>
      </w:r>
      <w:r>
        <w:t xml:space="preserve">). </w:t>
      </w:r>
      <w:r w:rsidR="009874F1">
        <w:t xml:space="preserve">In a previous </w:t>
      </w:r>
      <w:r w:rsidR="002A4CBA">
        <w:t xml:space="preserve">research </w:t>
      </w:r>
      <w:r w:rsidR="009874F1">
        <w:t>work</w:t>
      </w:r>
      <w:r w:rsidR="002A4CBA">
        <w:t xml:space="preserve"> </w:t>
      </w:r>
      <w:r w:rsidR="002A4CBA">
        <w:fldChar w:fldCharType="begin"/>
      </w:r>
      <w:r w:rsidR="002A4CBA">
        <w:instrText xml:space="preserve"> ADDIN ZOTERO_ITEM CSL_CITATION {"citationID":"JLCwNDfc","properties":{"formattedCitation":"[21]","plainCitation":"[21]","noteIndex":0},"citationItems":[{"id":3567,"uris":["http://zotero.org/users/local/FaDQTzcp/items/I3J8JBEP"],"itemData":{"id":3567,"type":"article-journal","container-title":"Wood Science and Technology","DOI":"10.1007/s00226-016-0866-5","ISSN":"0043-7719, 1432-5225","issue":"2","journalAbbreviation":"Wood Sci Technol","language":"en","page":"273-295","source":"DOI.org (Crossref)","title":"Assessing VOC emission by different wood cores using the PTR-ToF-MS technology","volume":"51","author":[{"family":"Taiti","given":"C."},{"family":"Costa","given":"C."},{"family":"Guidi Nissim","given":"W."},{"family":"Bibbiani","given":"S."},{"family":"Azzarello","given":"E."},{"family":"Masi","given":"E."},{"family":"Pandolfi","given":"C."},{"family":"Pallottino","given":"F."},{"family":"Menesatti","given":"P."},{"family":"Mancuso","given":"S."}],"issued":{"date-parts":[["2017",3]]}}}],"schema":"https://github.com/citation-style-language/schema/raw/master/csl-citation.json"} </w:instrText>
      </w:r>
      <w:r w:rsidR="002A4CBA">
        <w:fldChar w:fldCharType="separate"/>
      </w:r>
      <w:r w:rsidR="002A4CBA" w:rsidRPr="002A4CBA">
        <w:rPr>
          <w:rFonts w:ascii="Cambria" w:hAnsi="Cambria"/>
        </w:rPr>
        <w:t>[21]</w:t>
      </w:r>
      <w:r w:rsidR="002A4CBA">
        <w:fldChar w:fldCharType="end"/>
      </w:r>
      <w:r w:rsidR="009874F1">
        <w:t xml:space="preserve"> conducted using PTR-ToF-MS on untreated wood cores, </w:t>
      </w:r>
      <w:r w:rsidR="00D46E69">
        <w:t>mass peaks m/z 137 and 205 were also found to be important in discriminating coniferous and deciduous species.</w:t>
      </w:r>
      <w:r w:rsidR="002A4CBA">
        <w:t xml:space="preserve"> </w:t>
      </w:r>
      <w:r>
        <w:t xml:space="preserve">As for hardwood, mono- and sesquiterpene peaks are detectable, but at levels typically 100,000-fold lower than </w:t>
      </w:r>
      <w:r w:rsidR="00344F7E">
        <w:t xml:space="preserve">those observed for </w:t>
      </w:r>
      <w:r>
        <w:t xml:space="preserve">softwood. </w:t>
      </w:r>
      <w:r w:rsidR="00ED5345">
        <w:t xml:space="preserve">These are likely due to </w:t>
      </w:r>
      <w:r w:rsidR="00344F7E">
        <w:t>negligible</w:t>
      </w:r>
      <w:r w:rsidR="00042C17">
        <w:t xml:space="preserve"> </w:t>
      </w:r>
      <w:r w:rsidR="00ED5345">
        <w:t>cross</w:t>
      </w:r>
      <w:r w:rsidR="00042C17">
        <w:t xml:space="preserve"> </w:t>
      </w:r>
      <w:r w:rsidR="00ED5345">
        <w:t>contaminations</w:t>
      </w:r>
      <w:r w:rsidR="00F83FB7">
        <w:t xml:space="preserve"> between </w:t>
      </w:r>
      <w:r w:rsidR="00344F7E">
        <w:t xml:space="preserve">different </w:t>
      </w:r>
      <w:r w:rsidR="00F83FB7">
        <w:t>sample</w:t>
      </w:r>
      <w:r w:rsidR="00344F7E">
        <w:t xml:space="preserve"> type</w:t>
      </w:r>
      <w:r w:rsidR="00F83FB7">
        <w:t>s, that possibly occurred during preparation</w:t>
      </w:r>
      <w:r w:rsidR="00AD116D">
        <w:rPr>
          <w:lang w:val="en-GB"/>
        </w:rPr>
        <w:t xml:space="preserve">. </w:t>
      </w:r>
      <w:r>
        <w:t xml:space="preserve">PTR-ToF-MS does not allow for the speciation of terpenes, unless a GC separation step is coupled to it </w:t>
      </w:r>
      <w:r>
        <w:fldChar w:fldCharType="begin"/>
      </w:r>
      <w:r w:rsidR="00AD3004">
        <w:instrText xml:space="preserve"> ADDIN ZOTERO_ITEM CSL_CITATION {"citationID":"8BMErtqh","properties":{"formattedCitation":"[32]","plainCitation":"[32]","noteIndex":0},"citationItems":[{"id":1526,"uris":["http://zotero.org/users/local/FaDQTzcp/items/IPC3HYSI"],"itemData":{"id":1526,"type":"article-journal","container-title":"Analytical and Bioanalytical Chemistry","DOI":"10.1007/s00216-015-8942-5","issue":"25","title":"Monoterpene separation by coupling proton transfer reaction time-of-flight mass spectrometry with fastGC","URL":"https://www.scopus.com/inward/record.uri?eid=2-s2.0-85027936528&amp;doi=10.1007%2fs00216-015-8942-5&amp;partnerID=40&amp;md5=b696d6d178d2e3d7e02c28080882f9eb","volume":"407","author":[{"family":"Materić","given":"D."},{"family":"Lanza","given":"M."},{"family":"Sulzer","given":"P."},{"family":"Herbig","given":"J."},{"family":"Bruhn","given":"D."},{"family":"Turner","given":"C."},{"family":"Mason","given":"N."},{"family":"Gauci","given":"V."}],"issued":{"date-parts":[["2021"]]}}}],"schema":"https://github.com/citation-style-language/schema/raw/master/csl-citation.json"} </w:instrText>
      </w:r>
      <w:r>
        <w:fldChar w:fldCharType="separate"/>
      </w:r>
      <w:r w:rsidR="00AD3004" w:rsidRPr="00AD3004">
        <w:rPr>
          <w:rFonts w:ascii="Cambria" w:hAnsi="Cambria"/>
        </w:rPr>
        <w:t>[32]</w:t>
      </w:r>
      <w:r>
        <w:fldChar w:fldCharType="end"/>
      </w:r>
      <w:r>
        <w:t xml:space="preserve">. Based on </w:t>
      </w:r>
      <w:r w:rsidR="00344F7E">
        <w:t>SPME-</w:t>
      </w:r>
      <w:r>
        <w:t xml:space="preserve">GC-MS data, mass peak m/z 138.137 can be associated to monoterpenes alpha- and beta-pinene, camphene, D-limonene and delta-carene and mass peak m/z 205.196 to sesquiterpenes alpha-muurolene, beta-isocaryophyllene and longifolene  (Supplementary </w:t>
      </w:r>
      <w:r w:rsidR="00344F7E">
        <w:t>– S2</w:t>
      </w:r>
      <w:r>
        <w:t>).</w:t>
      </w:r>
    </w:p>
    <w:p w14:paraId="113FA583" w14:textId="278E2FBD" w:rsidR="00122F85" w:rsidRDefault="003D5F70">
      <w:pPr>
        <w:spacing w:line="360" w:lineRule="auto"/>
        <w:jc w:val="both"/>
      </w:pPr>
      <w:r>
        <w:t xml:space="preserve">Volatile phenols are found in cluster 5. Their emissions are expected to increase as a result of thermal degradation of lignin. Phenol and structurally related compounds are measured in the headspace of thermally treated white poplar </w:t>
      </w:r>
      <w:r>
        <w:fldChar w:fldCharType="begin"/>
      </w:r>
      <w:r w:rsidR="001052AE">
        <w:instrText xml:space="preserve"> ADDIN ZOTERO_ITEM CSL_CITATION {"citationID":"W3odkrSg","properties":{"formattedCitation":"[11]","plainCitation":"[11]","noteIndex":0},"citationItems":[{"id":"yKhL7Zc1/Gv9amnd8","uris":["http://zotero.org/users/local/2u4mFVJQ/items/PLS3WWQQ"],"itemData":{"id":84,"type":"article-journal","container-title":"Drvna industrija","DOI":"10.5552/drind.2018.1708","ISSN":"00126772, 18471153","issue":"4","journalAbbreviation":"Drvna ind.","page":"297-309","source":"DOI.org (Crossref)","title":"Comparison of VOC Emissions from Natural Wood and Heat Treated Wood","volume":"69","author":[{"family":"Čech","given":"Petr"}],"issued":{"date-parts":[["2018"]]}}}],"schema":"https://github.com/citation-style-language/schema/raw/master/csl-citation.json"} </w:instrText>
      </w:r>
      <w:r>
        <w:fldChar w:fldCharType="separate"/>
      </w:r>
      <w:r w:rsidR="001052AE" w:rsidRPr="001052AE">
        <w:rPr>
          <w:rFonts w:ascii="Cambria" w:hAnsi="Cambria"/>
        </w:rPr>
        <w:t>[11]</w:t>
      </w:r>
      <w:r>
        <w:fldChar w:fldCharType="end"/>
      </w:r>
      <w:r>
        <w:t xml:space="preserve">, Chinese white poplar </w:t>
      </w:r>
      <w:r>
        <w:fldChar w:fldCharType="begin"/>
      </w:r>
      <w:r w:rsidR="001052AE">
        <w:instrText xml:space="preserve"> ADDIN ZOTERO_ITEM CSL_CITATION {"citationID":"crvSVaoC","properties":{"formattedCitation":"[16]","plainCitation":"[16]","noteIndex":0},"citationItems":[{"id":897,"uris":["http://zotero.org/users/local/FaDQTzcp/items/SKPFSNAX"],"itemData":{"id":897,"type":"article-journal","container-title":"BioResources","issue":"2","page":"3550-3560","title":"Analysis of gas chromatography-mass spectrometry coupled with dynamic headspace sampling on volatile organic compounds of heat-treated poplar at high temperatures","volume":"11","author":[{"family":"Xue","given":"Lei"},{"family":"Zhao","given":"Zijian"},{"family":"Zhang","given":"Yu"},{"family":"Chu","given":"Demiao"},{"family":"Mu","given":"Jun"}],"issued":{"date-parts":[["2016"]]}}}],"schema":"https://github.com/citation-style-language/schema/raw/master/csl-citation.json"} </w:instrText>
      </w:r>
      <w:r>
        <w:fldChar w:fldCharType="separate"/>
      </w:r>
      <w:r w:rsidR="001052AE" w:rsidRPr="001052AE">
        <w:rPr>
          <w:rFonts w:ascii="Cambria" w:hAnsi="Cambria"/>
        </w:rPr>
        <w:t>[16]</w:t>
      </w:r>
      <w:r>
        <w:fldChar w:fldCharType="end"/>
      </w:r>
      <w:r>
        <w:t xml:space="preserve"> and Tunisian softwood species </w:t>
      </w:r>
      <w:r>
        <w:fldChar w:fldCharType="begin"/>
      </w:r>
      <w:r w:rsidR="00AD3004">
        <w:instrText xml:space="preserve"> ADDIN ZOTERO_ITEM CSL_CITATION {"citationID":"lwGoNZa9","properties":{"formattedCitation":"[33]","plainCitation":"[33]","noteIndex":0},"citationItems":[{"id":894,"uris":["http://zotero.org/users/local/FaDQTzcp/items/PB2KLZ8G"],"itemData":{"id":894,"type":"article-journal","container-title":"Maderas. Ciencia y tecnología","DOI":"10.4067/S0718-221X2015005000061","ISSN":"0718-221X","issue":"ahead","journalAbbreviation":"Maderas, Cienc. tecnol.","language":"en","page":"0-0","source":"DOI.org (Crossref)","title":"Heat treatment of Tunisian soft wood species: Effect on the durability, chemical modifications and mechanical properties","title-short":"Heat treatment of Tunisian soft wood species","author":[{"family":"Elaieb","given":"M"},{"family":"Candelier","given":"K"},{"family":"Pétrissans","given":"A"},{"family":"Dumarçay","given":"S"},{"family":"Gérardin","given":"P"},{"family":"Pétrissans","given":"M"}],"issued":{"date-parts":[["2015"]]}}}],"schema":"https://github.com/citation-style-language/schema/raw/master/csl-citation.json"} </w:instrText>
      </w:r>
      <w:r>
        <w:fldChar w:fldCharType="separate"/>
      </w:r>
      <w:r w:rsidR="00AD3004" w:rsidRPr="00AD3004">
        <w:rPr>
          <w:rFonts w:ascii="Cambria" w:hAnsi="Cambria"/>
        </w:rPr>
        <w:t>[33]</w:t>
      </w:r>
      <w:r>
        <w:fldChar w:fldCharType="end"/>
      </w:r>
      <w:r>
        <w:t xml:space="preserve">. Among all volatile phenols, phenol presents the highest toxicological concern with documented adverse effects on exposed workers </w:t>
      </w:r>
      <w:r>
        <w:fldChar w:fldCharType="begin"/>
      </w:r>
      <w:r w:rsidR="00AD3004">
        <w:instrText xml:space="preserve"> ADDIN ZOTERO_ITEM CSL_CITATION {"citationID":"S1iRIjCD","properties":{"formattedCitation":"[34]","plainCitation":"[34]","noteIndex":0},"citationItems":[{"id":"yKhL7Zc1/JitHSXGV","uris":["http://zotero.org/users/local/2u4mFVJQ/items/EVBBW2BF"],"itemData":{"id":93,"type":"article-journal","container-title":"INDUSTRIAL HEALTH","DOI":"10.2486/indhealth.32.207","ISSN":"0019-8366, 1880-8026","issue":"4","journalAbbreviation":"INDUSTRIAL HEALTH","language":"en","page":"207-214","source":"DOI.org (Crossref)","title":"Study of Some Biochemical Changes among Workers Occupationally Exposed to Phenol, Alone or in Combination with Other Organic Solvents.","volume":"32","author":[{"family":"Shamy","given":"Magdy Youssef"},{"family":"Gazzar","given":"Ragaa Mohammed EL"},{"family":"Sayed","given":"Mohamed Ahmed EL"},{"family":"Attia","given":"Alaa Morsi"}],"issued":{"date-parts":[["1994"]]}}}],"schema":"https://github.com/citation-style-language/schema/raw/master/csl-citation.json"} </w:instrText>
      </w:r>
      <w:r>
        <w:fldChar w:fldCharType="separate"/>
      </w:r>
      <w:r w:rsidR="00AD3004" w:rsidRPr="00AD3004">
        <w:rPr>
          <w:rFonts w:ascii="Cambria" w:hAnsi="Cambria"/>
        </w:rPr>
        <w:t>[34]</w:t>
      </w:r>
      <w:r>
        <w:fldChar w:fldCharType="end"/>
      </w:r>
      <w:r>
        <w:t xml:space="preserve">. PTR-ToF-MS detected mass peaks m/z 95.044 (phenol), m/z 109.061 (2-methyl-phenol) and m/z 123.081 (2,3-methyl-phenol). Figure 3 shows headspace concentration of 2,3-methyl-phenol across all samples: in NT wood, PS shows the highest concentrations; indeed, volatile phenols have been reported as odor-active compounds in untreated Scots pine </w:t>
      </w:r>
      <w:r>
        <w:fldChar w:fldCharType="begin"/>
      </w:r>
      <w:r w:rsidR="00AD3004">
        <w:instrText xml:space="preserve"> ADDIN ZOTERO_ITEM CSL_CITATION {"citationID":"IihYDsic","properties":{"formattedCitation":"[35]","plainCitation":"[35]","noteIndex":0},"citationItems":[{"id":"yKhL7Zc1/FbiC1oH6","uris":["http://zotero.org/users/local/2u4mFVJQ/items/M9QMTEBI"],"itemData":{"id":91,"type":"article-journal","container-title":"Scientific Reports","DOI":"10.1038/s41598-018-26626-8","ISSN":"2045-2322","issue":"1","journalAbbreviation":"Sci Rep","language":"en","page":"8294","source":"DOI.org (Crossref)","title":"Resolving the smell of wood - identification of odour-active compounds in Scots pine (Pinus sylvestris L.)","volume":"8","author":[{"family":"Schreiner","given":"Linda"},{"family":"Bauer","given":"Patrick"},{"family":"Buettner","given":"Andrea"}],"issued":{"date-parts":[["2018",12]]}}}],"schema":"https://github.com/citation-style-language/schema/raw/master/csl-citation.json"} </w:instrText>
      </w:r>
      <w:r>
        <w:fldChar w:fldCharType="separate"/>
      </w:r>
      <w:r w:rsidR="00AD3004" w:rsidRPr="00AD3004">
        <w:rPr>
          <w:rFonts w:ascii="Cambria" w:hAnsi="Cambria"/>
        </w:rPr>
        <w:t>[35]</w:t>
      </w:r>
      <w:r>
        <w:fldChar w:fldCharType="end"/>
      </w:r>
      <w:r>
        <w:t xml:space="preserve">. Untreated hardwood displayed instead very low (&lt; 1 ppbV) volatile phenol emissions whereas in TMW, phenol concentration dependency on temperature followed a bell-shaped curve, peaking at T = 180-200 °C (B-C) and decreasing for T = 215 °C (D).   </w:t>
      </w:r>
    </w:p>
    <w:p w14:paraId="51BD4220" w14:textId="73E03302" w:rsidR="00122F85" w:rsidRDefault="003D5F70">
      <w:pPr>
        <w:spacing w:line="360" w:lineRule="auto"/>
        <w:jc w:val="both"/>
      </w:pPr>
      <w:r>
        <w:t xml:space="preserve">PTR-ToF-MS also detected mass peaks corresponding to several aliphatic aldehydes and ketones from C6 to C9 (cluster 7-8 in Figure 2 and Table </w:t>
      </w:r>
      <w:r w:rsidR="008814A7">
        <w:t>4</w:t>
      </w:r>
      <w:r>
        <w:t xml:space="preserve">), and C6-C9 carboxylic acids (cluster 7 in Figure 2 and Table </w:t>
      </w:r>
      <w:r w:rsidR="008814A7">
        <w:t>4</w:t>
      </w:r>
      <w:r>
        <w:t xml:space="preserve">). When long-chain fatty acids undergo autoxidation, the generation of a wide range of volatile aldehydes is to be expected; aldehydes then undergo further oxidation into carboxylic acids </w:t>
      </w:r>
      <w:r>
        <w:fldChar w:fldCharType="begin"/>
      </w:r>
      <w:r w:rsidR="00AD3004">
        <w:instrText xml:space="preserve"> ADDIN ZOTERO_ITEM CSL_CITATION {"citationID":"9mw1HJSk","properties":{"formattedCitation":"[36]","plainCitation":"[36]","noteIndex":0},"citationItems":[{"id":903,"uris":["http://zotero.org/users/local/FaDQTzcp/items/VQ8I8R8B"],"itemData":{"id":903,"type":"article-journal","container-title":"International Wood Products Journal","DOI":"10.1179/2042645314Y.0000000091","ISSN":"2042-6445, 2042-6453","issue":"2","journalAbbreviation":"International Wood Products Journal","language":"en","page":"60-68","source":"DOI.org (Crossref)","title":"Effect of some treatments on emission of volatile organic compounds (VOC) from chips used in pellets making processes","volume":"6","author":[{"family":"Gabriel","given":"M."},{"family":"Paczkowski","given":"S."},{"family":"Nicke","given":"S."},{"family":"Schütz","given":"S."},{"family":"Behn","given":"C."},{"family":"Kraft","given":"R."},{"family":"Roffael","given":"E."}],"issued":{"date-parts":[["2015",6,3]]}}}],"schema":"https://github.com/citation-style-language/schema/raw/master/csl-citation.json"} </w:instrText>
      </w:r>
      <w:r>
        <w:fldChar w:fldCharType="separate"/>
      </w:r>
      <w:r w:rsidR="00AD3004" w:rsidRPr="00AD3004">
        <w:rPr>
          <w:rFonts w:ascii="Cambria" w:hAnsi="Cambria"/>
        </w:rPr>
        <w:t>[36]</w:t>
      </w:r>
      <w:r>
        <w:fldChar w:fldCharType="end"/>
      </w:r>
      <w:r>
        <w:t xml:space="preserve">. In </w:t>
      </w:r>
      <w:r>
        <w:lastRenderedPageBreak/>
        <w:t xml:space="preserve">wood VOC emission studies, hexanal is most commonly detected whereas aldehydes with more than six carbon atoms are only rarely reported </w:t>
      </w:r>
      <w:r w:rsidR="00773BC1">
        <w:fldChar w:fldCharType="begin"/>
      </w:r>
      <w:r w:rsidR="00AD3004">
        <w:instrText xml:space="preserve"> ADDIN ZOTERO_ITEM CSL_CITATION {"citationID":"GSp7g1uI","properties":{"formattedCitation":"[16,33]","plainCitation":"[16,33]","noteIndex":0},"citationItems":[{"id":894,"uris":["http://zotero.org/users/local/FaDQTzcp/items/PB2KLZ8G"],"itemData":{"id":894,"type":"article-journal","container-title":"Maderas. Ciencia y tecnología","DOI":"10.4067/S0718-221X2015005000061","ISSN":"0718-221X","issue":"ahead","journalAbbreviation":"Maderas, Cienc. tecnol.","language":"en","page":"0-0","source":"DOI.org (Crossref)","title":"Heat treatment of Tunisian soft wood species: Effect on the durability, chemical modifications and mechanical properties","title-short":"Heat treatment of Tunisian soft wood species","author":[{"family":"Elaieb","given":"M"},{"family":"Candelier","given":"K"},{"family":"Pétrissans","given":"A"},{"family":"Dumarçay","given":"S"},{"family":"Gérardin","given":"P"},{"family":"Pétrissans","given":"M"}],"issued":{"date-parts":[["2015"]]}}},{"id":897,"uris":["http://zotero.org/users/local/FaDQTzcp/items/SKPFSNAX"],"itemData":{"id":897,"type":"article-journal","container-title":"BioResources","issue":"2","page":"3550-3560","title":"Analysis of gas chromatography-mass spectrometry coupled with dynamic headspace sampling on volatile organic compounds of heat-treated poplar at high temperatures","volume":"11","author":[{"family":"Xue","given":"Lei"},{"family":"Zhao","given":"Zijian"},{"family":"Zhang","given":"Yu"},{"family":"Chu","given":"Demiao"},{"family":"Mu","given":"Jun"}],"issued":{"date-parts":[["2016"]]}}}],"schema":"https://github.com/citation-style-language/schema/raw/master/csl-citation.json"} </w:instrText>
      </w:r>
      <w:r w:rsidR="00773BC1">
        <w:fldChar w:fldCharType="separate"/>
      </w:r>
      <w:r w:rsidR="00AD3004" w:rsidRPr="00AD3004">
        <w:rPr>
          <w:rFonts w:ascii="Cambria" w:hAnsi="Cambria"/>
        </w:rPr>
        <w:t>[16,33]</w:t>
      </w:r>
      <w:r w:rsidR="00773BC1">
        <w:fldChar w:fldCharType="end"/>
      </w:r>
      <w:r>
        <w:t>. Little information is available about the corresponding carboxylic acids. Even though the impact of these aldehydes and acids is minor from the human exposition standpoint, the fact that they are consistently detected in wood samples from several tree species extends our current knowledge on wood VOC emission and provides a window into wood thermal degradation kinetics. Aldehydes/ketones and acids are more concentrated in softwood</w:t>
      </w:r>
      <w:r w:rsidR="00021397">
        <w:t xml:space="preserve"> than in hardwood</w:t>
      </w:r>
      <w:r>
        <w:t>.</w:t>
      </w:r>
      <w:r w:rsidR="00021397">
        <w:t xml:space="preserve"> Figure 3 graphically represents the </w:t>
      </w:r>
      <w:r w:rsidR="006A6669">
        <w:t xml:space="preserve"> </w:t>
      </w:r>
      <w:r w:rsidR="00E04C3C">
        <w:t>results for hexanal (</w:t>
      </w:r>
      <w:r w:rsidR="004B3E49">
        <w:t>m/z 101.</w:t>
      </w:r>
      <w:r w:rsidR="00251815">
        <w:t>095</w:t>
      </w:r>
      <w:r w:rsidR="00E04C3C">
        <w:t>)</w:t>
      </w:r>
      <w:r w:rsidR="004B3E49">
        <w:t xml:space="preserve"> and hex</w:t>
      </w:r>
      <w:r w:rsidR="00251815">
        <w:t>a</w:t>
      </w:r>
      <w:r w:rsidR="004B3E49">
        <w:t>noic acid (m/z 117.</w:t>
      </w:r>
      <w:r w:rsidR="00251815">
        <w:t>091</w:t>
      </w:r>
      <w:r w:rsidR="004B3E49">
        <w:t>)</w:t>
      </w:r>
      <w:r w:rsidR="00BD69EF">
        <w:t xml:space="preserve">. Hexanal release is significantly affected by thermal treatment in </w:t>
      </w:r>
      <w:r w:rsidR="00251815">
        <w:t>5</w:t>
      </w:r>
      <w:r w:rsidR="00945EAD">
        <w:t xml:space="preserve"> out of 6 tree species, whereas for hexanoic acid the effect is less evident:</w:t>
      </w:r>
      <w:r>
        <w:t xml:space="preserve"> this </w:t>
      </w:r>
      <w:r w:rsidR="0002072A">
        <w:t>like</w:t>
      </w:r>
      <w:r w:rsidR="00A853D2">
        <w:t>l</w:t>
      </w:r>
      <w:r w:rsidR="0002072A">
        <w:t xml:space="preserve">y </w:t>
      </w:r>
      <w:r>
        <w:t xml:space="preserve">reflects the </w:t>
      </w:r>
      <w:r w:rsidR="00945EAD">
        <w:t xml:space="preserve">fatc that </w:t>
      </w:r>
      <w:r w:rsidR="00A853D2">
        <w:t>aldehydes</w:t>
      </w:r>
      <w:r w:rsidR="00945EAD">
        <w:t xml:space="preserve"> are more volatile than the corresponding acids</w:t>
      </w:r>
      <w:r>
        <w:t xml:space="preserve">.   </w:t>
      </w:r>
    </w:p>
    <w:p w14:paraId="649EB4A6" w14:textId="10DDB206" w:rsidR="00122F85" w:rsidRDefault="003D5F70">
      <w:pPr>
        <w:spacing w:line="360" w:lineRule="auto"/>
        <w:jc w:val="both"/>
      </w:pPr>
      <w:r>
        <w:t xml:space="preserve">The lower half of the heatmap (Figure 2, clusters 9-21) includes compounds whose concentration is similar for both softwood and hardwood, and increases following thermal treatment. </w:t>
      </w:r>
    </w:p>
    <w:p w14:paraId="37852D5B" w14:textId="471F4803" w:rsidR="00122F85" w:rsidRDefault="003D5F70">
      <w:pPr>
        <w:spacing w:line="360" w:lineRule="auto"/>
        <w:jc w:val="both"/>
      </w:pPr>
      <w:r>
        <w:t>Similar trends are observed for formic acid (m/z 47.012, cluster</w:t>
      </w:r>
      <w:r w:rsidR="008814A7">
        <w:t xml:space="preserve"> </w:t>
      </w:r>
      <w:r>
        <w:t>15 in Figure 2</w:t>
      </w:r>
      <w:r w:rsidR="009C2D80">
        <w:t xml:space="preserve"> and Figure 4</w:t>
      </w:r>
      <w:r>
        <w:t>), and acetic acid (m/z 62.032, cluster</w:t>
      </w:r>
      <w:r w:rsidR="008814A7">
        <w:t xml:space="preserve"> </w:t>
      </w:r>
      <w:r>
        <w:t>14). Formic acid -even though its formation can be expected from wood thermal tratment- is poorly reported. In fact, it is difficult to analyse formic acid by TD-GC-MS due to the high volatility of this compound. PTR-ToF-MS allows to bypass this problem. Acetic acid comes from the degradation of hemicelluloses and lignin. This VOC is well-represented in terms of relative abundance within the headspace of untreated wood</w:t>
      </w:r>
      <w:r w:rsidR="00BC60BE">
        <w:t>, reaching</w:t>
      </w:r>
      <w:r>
        <w:t xml:space="preserve"> 60% of total VOC emission in NT oak. Looking at NT samples only, oak and tulipier show the highest acetic acid release: this is likely related to the fact that in hardwood lignin and hemicelluloses show a higher degree of acetylation </w:t>
      </w:r>
      <w:r>
        <w:fldChar w:fldCharType="begin"/>
      </w:r>
      <w:r w:rsidR="00AD3004">
        <w:instrText xml:space="preserve"> ADDIN ZOTERO_ITEM CSL_CITATION {"citationID":"I57OTBDv","properties":{"formattedCitation":"[5,12,37,38]","plainCitation":"[5,12,37,38]","noteIndex":0},"citationItems":[{"id":900,"uris":["http://zotero.org/users/local/FaDQTzcp/items/9G7FRRIX"],"itemData":{"id":900,"type":"book","event-place":"Stockholm, Sweden","number-of-pages":"46 pp.","publisher":"Tratek, Swedish Institute for Wood Technology Research","publisher-place":"Stockholm, Sweden","title":"Emissions of volatile organic compounds (VOC) from wood","volume":"Rapport I 9901001","author":[{"family":"Englund","given":"F"}],"issued":{"date-parts":[["1999"]]}}},{"id":888,"uris":["http://zotero.org/users/local/FaDQTzcp/items/KJDB5DNI"],"itemData":{"id":888,"type":"article-journal","container-title":"Atmospheric Environment","DOI":"10.1016/j.atmosenv.2010.07.018","ISSN":"13522310","issue":"38","journalAbbreviation":"Atmospheric Environment","language":"en","page":"5028-5033","source":"DOI.org (Crossref)","title":"Comparison of VOC emissions between air-dried and heat-treated Norway spruce (Picea abies), Scots pine (Pinus sylvesteris) and European aspen (Populus tremula) wood","volume":"44","author":[{"family":"Hyttinen","given":"Marko"},{"family":"Masalin-Weijo","given":"Marika"},{"family":"Kalliokoski","given":"Pentti"},{"family":"Pasanen","given":"Pertti"}],"issued":{"date-parts":[["2010",12]]}}},{"id":889,"uris":["http://zotero.org/users/local/FaDQTzcp/items/NQW5QNMJ"],"itemData":{"id":889,"type":"article-journal","container-title":"BioResources","issue":"2","page":"491-502","title":"Characterization of emissions from thermally modified wood and their reduction by chemical treatment","volume":"3","author":[{"family":"Peters","given":"J"},{"family":"Fischer","given":"K"},{"family":"Fischer","given":"S"}],"issued":{"date-parts":[["2008"]]}}},{"id":892,"uris":["http://zotero.org/users/local/FaDQTzcp/items/VY2EZZ6Q"],"itemData":{"id":892,"type":"article-journal","container-title":"Holz als Roh- und Werkstoff","DOI":"10.1007/s001070050282","ISSN":"0018-3768, 1436-736X","issue":"2","journalAbbreviation":"Holz als Roh-und Werkstoff","language":"en","page":"125-129","source":"DOI.org (Crossref)","title":"Emissions of acetic acid and other volatile organic compounds from different species of solid wood","volume":"56","author":[{"family":"Risholm-Sundman","given":"M."},{"family":"Lundgren","given":"M."},{"family":"Vestin","given":"E."},{"family":"Herder","given":"P."}],"issued":{"date-parts":[["1998",3]]}}}],"schema":"https://github.com/citation-style-language/schema/raw/master/csl-citation.json"} </w:instrText>
      </w:r>
      <w:r>
        <w:fldChar w:fldCharType="separate"/>
      </w:r>
      <w:r w:rsidR="00AD3004" w:rsidRPr="00AD3004">
        <w:rPr>
          <w:rFonts w:ascii="Cambria" w:hAnsi="Cambria"/>
        </w:rPr>
        <w:t>[5,12,37,38]</w:t>
      </w:r>
      <w:r>
        <w:fldChar w:fldCharType="end"/>
      </w:r>
      <w:r>
        <w:t xml:space="preserve">. </w:t>
      </w:r>
    </w:p>
    <w:p w14:paraId="0B29C8DD" w14:textId="6BEAD723" w:rsidR="00122F85" w:rsidRDefault="003D5F70">
      <w:pPr>
        <w:spacing w:line="360" w:lineRule="auto"/>
        <w:jc w:val="both"/>
      </w:pPr>
      <w:r>
        <w:t>Formaldehyde (m/z 31.018, cluster</w:t>
      </w:r>
      <w:r w:rsidR="008D315A">
        <w:t xml:space="preserve"> </w:t>
      </w:r>
      <w:r>
        <w:t>10 in Figure 2</w:t>
      </w:r>
      <w:r w:rsidR="009C2D80">
        <w:t xml:space="preserve"> and Figure 4</w:t>
      </w:r>
      <w:r>
        <w:t xml:space="preserve">) is often reported as wood VOC and it is formed following the degradation of lignin and polysaccharides. Formaldehyde </w:t>
      </w:r>
      <w:r w:rsidR="008C0149">
        <w:t>is</w:t>
      </w:r>
      <w:r>
        <w:t xml:space="preserve"> </w:t>
      </w:r>
      <w:r w:rsidR="008C0149">
        <w:t xml:space="preserve">a </w:t>
      </w:r>
      <w:r>
        <w:t xml:space="preserve">recognised carcinogen </w:t>
      </w:r>
      <w:r>
        <w:fldChar w:fldCharType="begin"/>
      </w:r>
      <w:r w:rsidR="00AD3004">
        <w:instrText xml:space="preserve"> ADDIN ZOTERO_ITEM CSL_CITATION {"citationID":"dKFPD7t1","properties":{"formattedCitation":"[39]","plainCitation":"[39]","noteIndex":0},"citationItems":[{"id":3557,"uris":["http://zotero.org/users/local/FaDQTzcp/items/RHR73T8T"],"itemData":{"id":3557,"type":"book","collection-number":"88","collection-title":"IARC monographs on the evaluation of carcinogenic risks to humans","event-place":"Lyon","ISBN":"978-92-832-1288-1","language":"eng","number-of-pages":"478","publisher":"IARC","publisher-place":"Lyon","source":"K10plus ISBN","title":"Formaldehyde, 2-Butoxyethanol and 1-tert-Butoxypropan-2-ol: this publication represents the views and expert opinions of an IARC Working Group on the Evaluation of Carcinogenic Risks to Humans, which met in Lyon, 2 - 9 June 2004","title-short":"Formaldehyde, 2-Butoxyethanol and 1-tert-Butoxypropan-2-ol","editor":[{"family":"International Agency for Research on Cancer","given":""}],"issued":{"date-parts":[["2006"]]}}}],"schema":"https://github.com/citation-style-language/schema/raw/master/csl-citation.json"} </w:instrText>
      </w:r>
      <w:r>
        <w:fldChar w:fldCharType="separate"/>
      </w:r>
      <w:r w:rsidR="00AD3004" w:rsidRPr="00AD3004">
        <w:rPr>
          <w:rFonts w:ascii="Cambria" w:hAnsi="Cambria"/>
        </w:rPr>
        <w:t>[39]</w:t>
      </w:r>
      <w:r>
        <w:fldChar w:fldCharType="end"/>
      </w:r>
      <w:r w:rsidR="008C0149">
        <w:t xml:space="preserve"> and therefore</w:t>
      </w:r>
      <w:r>
        <w:t xml:space="preserve"> rises the most seroius health concerns among all wood VOCs</w:t>
      </w:r>
      <w:r w:rsidR="008C0149">
        <w:t>.</w:t>
      </w:r>
      <w:r>
        <w:t xml:space="preserve"> </w:t>
      </w:r>
      <w:r w:rsidR="008C0149">
        <w:t>S</w:t>
      </w:r>
      <w:r>
        <w:t>tandard methods have been developed for formaldehyde determination in construction materials</w:t>
      </w:r>
      <w:r w:rsidR="0063249E">
        <w:t>, which</w:t>
      </w:r>
      <w:r w:rsidR="008C0149">
        <w:t xml:space="preserve"> </w:t>
      </w:r>
      <w:r>
        <w:t>requir</w:t>
      </w:r>
      <w:r w:rsidR="008C0149">
        <w:t>e</w:t>
      </w:r>
      <w:r>
        <w:t xml:space="preserve"> derivatisation, followed by liquid chromatography or photometric determination </w:t>
      </w:r>
      <w:r>
        <w:fldChar w:fldCharType="begin"/>
      </w:r>
      <w:r w:rsidR="00AD3004">
        <w:instrText xml:space="preserve"> ADDIN ZOTERO_ITEM CSL_CITATION {"citationID":"A6w45Bsr","properties":{"formattedCitation":"[40]","plainCitation":"[40]","noteIndex":0},"citationItems":[{"id":3558,"uris":["http://zotero.org/users/local/FaDQTzcp/items/HVUAG8TX"],"itemData":{"id":3558,"type":"article-journal","container-title":"Atmospheric Environment","DOI":"10.1016/j.atmosenv.2006.10.079","ISSN":"13522310","issue":"15","journalAbbreviation":"Atmospheric Environment","language":"en","page":"3193-3202","source":"DOI.org (Crossref)","title":"Formaldehyde emission—Comparison of different standard methods","volume":"41","author":[{"family":"Risholm-Sundman","given":"Maria"},{"family":"Larsen","given":"Annelise"},{"family":"Vestin","given":"Ewa"},{"family":"Weibull","given":"Anders"}],"issued":{"date-parts":[["2007",5]]}}}],"schema":"https://github.com/citation-style-language/schema/raw/master/csl-citation.json"} </w:instrText>
      </w:r>
      <w:r>
        <w:fldChar w:fldCharType="separate"/>
      </w:r>
      <w:r w:rsidR="00AD3004" w:rsidRPr="00AD3004">
        <w:rPr>
          <w:rFonts w:ascii="Cambria" w:hAnsi="Cambria"/>
        </w:rPr>
        <w:t>[40]</w:t>
      </w:r>
      <w:r>
        <w:fldChar w:fldCharType="end"/>
      </w:r>
      <w:r>
        <w:t xml:space="preserve">. As previously </w:t>
      </w:r>
      <w:r w:rsidR="008C0149">
        <w:t>stated</w:t>
      </w:r>
      <w:r>
        <w:t xml:space="preserve">, TD-GC-MS is not suited to formaldehyde </w:t>
      </w:r>
      <w:r>
        <w:lastRenderedPageBreak/>
        <w:t xml:space="preserve">determination; therefore, the fact that PTR-ToF-MS allows to measure it in direct, sensitive and rapid fashion is of particular interest: formaldehyde quantification by PTR-MS is possible, provided the relative humidity of the sample is known </w:t>
      </w:r>
      <w:r>
        <w:fldChar w:fldCharType="begin"/>
      </w:r>
      <w:r w:rsidR="00AD3004">
        <w:instrText xml:space="preserve"> ADDIN ZOTERO_ITEM CSL_CITATION {"citationID":"3Qdc6UuZ","properties":{"formattedCitation":"[41]","plainCitation":"[41]","noteIndex":0},"citationItems":[{"id":2488,"uris":["http://zotero.org/users/local/FaDQTzcp/items/AEDLCYAH"],"itemData":{"id":2488,"type":"article-journal","container-title":"Measurement Science and Technology","DOI":"10.1088/0957-0233/24/12/125003","issue":"12","title":"On the performance of proton-transfer-reaction mass spectrometry for breath-relevant gas matrices","URL":"https://www.scopus.com/inward/record.uri?eid=2-s2.0-84889067045&amp;doi=10.1088%2f0957-0233%2f24%2f12%2f125003&amp;partnerID=40&amp;md5=79963fc551edd9ca4a62f3e275b47424","volume":"24","author":[{"family":"Beauchamp","given":"J."},{"family":"Herbig","given":"J."},{"family":"Dunkl","given":"J."},{"family":"Singer","given":"W."},{"family":"Hansel","given":"A."}],"issued":{"date-parts":[["2013"]]}}}],"schema":"https://github.com/citation-style-language/schema/raw/master/csl-citation.json"} </w:instrText>
      </w:r>
      <w:r>
        <w:fldChar w:fldCharType="separate"/>
      </w:r>
      <w:r w:rsidR="00AD3004" w:rsidRPr="00AD3004">
        <w:rPr>
          <w:rFonts w:ascii="Cambria" w:hAnsi="Cambria"/>
        </w:rPr>
        <w:t>[41]</w:t>
      </w:r>
      <w:r>
        <w:fldChar w:fldCharType="end"/>
      </w:r>
      <w:r>
        <w:t>. In our dataset, important differences in formaldehyde emission</w:t>
      </w:r>
      <w:r w:rsidR="00221FCC">
        <w:t xml:space="preserve"> among tree species</w:t>
      </w:r>
      <w:r>
        <w:t xml:space="preserve"> were highlighted (high emission in AR, PS, RW, and TP while low emission in FG and FR). Concentrations readily increased upon heating in TMW, starting from T = 160 °C. Interestingly, PTR-ToF-MS was also capable to directly determine acetaldehyde (m/z 46.036, cluster</w:t>
      </w:r>
      <w:r w:rsidR="0063249E">
        <w:t xml:space="preserve"> </w:t>
      </w:r>
      <w:r>
        <w:t xml:space="preserve">10) and </w:t>
      </w:r>
      <w:r>
        <w:rPr>
          <w:lang w:val="en-GB"/>
        </w:rPr>
        <w:t>methanol (m/z 34.037, cluster</w:t>
      </w:r>
      <w:r w:rsidR="008D315A">
        <w:rPr>
          <w:lang w:val="en-GB"/>
        </w:rPr>
        <w:t xml:space="preserve"> </w:t>
      </w:r>
      <w:r>
        <w:rPr>
          <w:lang w:val="en-GB"/>
        </w:rPr>
        <w:t xml:space="preserve">17), which like formaldehyde are toxic and not easy to detect by TD-GC-MS. </w:t>
      </w:r>
    </w:p>
    <w:p w14:paraId="5D0B80BA" w14:textId="004D2117" w:rsidR="00122F85" w:rsidRDefault="003D5F70">
      <w:pPr>
        <w:spacing w:line="360" w:lineRule="auto"/>
        <w:jc w:val="both"/>
        <w:rPr>
          <w:lang w:val="en-GB"/>
        </w:rPr>
      </w:pPr>
      <w:r>
        <w:rPr>
          <w:lang w:val="en-GB"/>
        </w:rPr>
        <w:t>Cluster 16 contains furfural (m/z 98.031</w:t>
      </w:r>
      <w:r w:rsidR="009A1F0C">
        <w:rPr>
          <w:lang w:val="en-GB"/>
        </w:rPr>
        <w:t>, Figure 4</w:t>
      </w:r>
      <w:r>
        <w:rPr>
          <w:lang w:val="en-GB"/>
        </w:rPr>
        <w:t xml:space="preserve">) and 5-methyl-furfural (m/z 111.043). These are </w:t>
      </w:r>
      <w:r w:rsidR="00221FCC">
        <w:rPr>
          <w:lang w:val="en-GB"/>
        </w:rPr>
        <w:t>well-</w:t>
      </w:r>
      <w:r>
        <w:rPr>
          <w:lang w:val="en-GB"/>
        </w:rPr>
        <w:t xml:space="preserve">known products of thermal degradation of hemicellulose and increase upon thermal treatment in both hardwood and softwood </w:t>
      </w:r>
      <w:r>
        <w:rPr>
          <w:lang w:val="en-GB"/>
        </w:rPr>
        <w:fldChar w:fldCharType="begin"/>
      </w:r>
      <w:r w:rsidR="00AD3004">
        <w:rPr>
          <w:lang w:val="en-GB"/>
        </w:rPr>
        <w:instrText xml:space="preserve"> ADDIN ZOTERO_ITEM CSL_CITATION {"citationID":"RsNHrbPb","properties":{"formattedCitation":"[10,16,33]","plainCitation":"[10,16,33]","noteIndex":0},"citationItems":[{"id":894,"uris":["http://zotero.org/users/local/FaDQTzcp/items/PB2KLZ8G"],"itemData":{"id":894,"type":"article-journal","container-title":"Maderas. Ciencia y tecnología","DOI":"10.4067/S0718-221X2015005000061","ISSN":"0718-221X","issue":"ahead","journalAbbreviation":"Maderas, Cienc. tecnol.","language":"en","page":"0-0","source":"DOI.org (Crossref)","title":"Heat treatment of Tunisian soft wood species: Effect on the durability, chemical modifications and mechanical properties","title-short":"Heat treatment of Tunisian soft wood species","author":[{"family":"Elaieb","given":"M"},{"family":"Candelier","given":"K"},{"family":"Pétrissans","given":"A"},{"family":"Dumarçay","given":"S"},{"family":"Gérardin","given":"P"},{"family":"Pétrissans","given":"M"}],"issued":{"date-parts":[["2015"]]}}},{"id":"yKhL7Zc1/JuY5soML","uris":["http://zotero.org/users/local/2u4mFVJQ/items/TWC4MJWI"],"itemData":{"id":"ZNx4dfrU/9fi2MhCI","type":"article-journal","abstract":"As the main material in indoor furniture, southern yellow pine (Pinus spp.) releases volatile organic compounds (VOCs) into the environment during use. To better understand variations in the contents of VOCs in southern yellow pine before and after heat treatment, this study conducts dry heat treatment on southern yellow pine at 140 °C and 220 °C. Headspace solid phase micro-extraction was used to extract VOCs from southern yellow pine. The VOCs of southern yellow pine before and after heat treatment were identified via gas chromatography-mass spectrometry, and chemical component differences were characterized via Fourier transform infrared spectroscopy. Results reveal 86 VOCs in pure southern yellow pine, including alcohols, aromatics, acids, aldehydes, alkanes, alkenes, and some trace compounds (e.g., furans, ketones, phenols, and esters). With an increase in heat-treatment temperature, the contents of alkanes increased, whereas those of alcohols and alkenes decreased. The contents of aromatics, acids, and aldehydes were highest when heat treated at 140 °C. At 220 °C, the total contents of key VOCs in southern yellow pine were lowest.","container-title":"International Journal of Environmental Research and Public Health","DOI":"10.3390/ijerph15112579","ISSN":"1660-4601","issue":"11","journalAbbreviation":"IJERPH","language":"en","page":"2579","source":"DOI.org (Crossref)","title":"Released Volatile Organic Compounds in Southern Yellow Pine before and after Heat Treatment","volume":"15","author":[{"family":"Wang","given":"Chen"},{"family":"Wang","given":"Zhiping"},{"family":"Qin","given":"Ye"},{"family":"Yin","given":"Xiaoqian"},{"family":"Huang","given":"Anmin"}],"issued":{"date-parts":[["2018",11,18]]}}},{"id":897,"uris":["http://zotero.org/users/local/FaDQTzcp/items/SKPFSNAX"],"itemData":{"id":897,"type":"article-journal","container-title":"BioResources","issue":"2","page":"3550-3560","title":"Analysis of gas chromatography-mass spectrometry coupled with dynamic headspace sampling on volatile organic compounds of heat-treated poplar at high temperatures","volume":"11","author":[{"family":"Xue","given":"Lei"},{"family":"Zhao","given":"Zijian"},{"family":"Zhang","given":"Yu"},{"family":"Chu","given":"Demiao"},{"family":"Mu","given":"Jun"}],"issued":{"date-parts":[["2016"]]}}}],"schema":"https://github.com/citation-style-language/schema/raw/master/csl-citation.json"} </w:instrText>
      </w:r>
      <w:r>
        <w:rPr>
          <w:lang w:val="en-GB"/>
        </w:rPr>
        <w:fldChar w:fldCharType="separate"/>
      </w:r>
      <w:r w:rsidR="00AD3004" w:rsidRPr="00AD3004">
        <w:rPr>
          <w:rFonts w:ascii="Cambria" w:hAnsi="Cambria"/>
        </w:rPr>
        <w:t>[10,16,33]</w:t>
      </w:r>
      <w:r>
        <w:rPr>
          <w:lang w:val="en-GB"/>
        </w:rPr>
        <w:fldChar w:fldCharType="end"/>
      </w:r>
      <w:r>
        <w:rPr>
          <w:lang w:val="en-GB"/>
        </w:rPr>
        <w:t xml:space="preserve">. </w:t>
      </w:r>
      <w:r w:rsidR="002365F9">
        <w:rPr>
          <w:lang w:val="en-GB"/>
        </w:rPr>
        <w:t>Relatively</w:t>
      </w:r>
      <w:r>
        <w:rPr>
          <w:lang w:val="en-GB"/>
        </w:rPr>
        <w:t xml:space="preserve"> </w:t>
      </w:r>
      <w:r w:rsidR="002365F9">
        <w:rPr>
          <w:lang w:val="en-GB"/>
        </w:rPr>
        <w:t>weak</w:t>
      </w:r>
      <w:r>
        <w:rPr>
          <w:lang w:val="en-GB"/>
        </w:rPr>
        <w:t xml:space="preserve"> evidence </w:t>
      </w:r>
      <w:r w:rsidR="002365F9">
        <w:rPr>
          <w:lang w:val="en-GB"/>
        </w:rPr>
        <w:t xml:space="preserve">of carcinogenicity </w:t>
      </w:r>
      <w:r>
        <w:rPr>
          <w:lang w:val="en-GB"/>
        </w:rPr>
        <w:t xml:space="preserve">is reported for furfural </w:t>
      </w:r>
      <w:r>
        <w:rPr>
          <w:lang w:val="fr-FR"/>
        </w:rPr>
        <w:fldChar w:fldCharType="begin"/>
      </w:r>
      <w:r w:rsidR="00AD3004">
        <w:rPr>
          <w:lang w:val="en-GB"/>
        </w:rPr>
        <w:instrText xml:space="preserve"> ADDIN ZOTERO_ITEM CSL_CITATION {"citationID":"x3rowDY8","properties":{"formattedCitation":"[42]","plainCitation":"[42]","noteIndex":0},"citationItems":[{"id":3560,"uris":["http://zotero.org/users/local/FaDQTzcp/items/EFTN42F4"],"itemData":{"id":3560,"type":"book","ISBN":"978-92-832-0157-1","language":"English","note":"OCLC: 1137080610","source":"Open WorldCat","title":"Some chemicals that cause tumours of the urinary tract in rodents: views and expert opinions of an IARC Working Group on the Evaluation of Carcinogenic Risks to Humans, wich met in Lyon, 6-13 June 2017","title-short":"Some chemicals that cause tumours of the urinary tract in rodents","editor":[{"literal":"International Agency for Research on Cancer"},{"literal":"International Agency for Research on Cancer"},{"literal":"Working Group on the Evaluation of Carcinogenic Risks to Humans"}],"issued":{"date-parts":[["2019"]]}}}],"schema":"https://github.com/citation-style-language/schema/raw/master/csl-citation.json"} </w:instrText>
      </w:r>
      <w:r>
        <w:rPr>
          <w:lang w:val="fr-FR"/>
        </w:rPr>
        <w:fldChar w:fldCharType="separate"/>
      </w:r>
      <w:r w:rsidR="00AD3004" w:rsidRPr="00AD3004">
        <w:rPr>
          <w:rFonts w:ascii="Cambria" w:hAnsi="Cambria"/>
        </w:rPr>
        <w:t>[42]</w:t>
      </w:r>
      <w:r>
        <w:rPr>
          <w:lang w:val="fr-FR"/>
        </w:rPr>
        <w:fldChar w:fldCharType="end"/>
      </w:r>
      <w:r>
        <w:rPr>
          <w:lang w:val="en-GB"/>
        </w:rPr>
        <w:t>. Our results confirm a strong dependency on temperature for furfural and 5-methyl-furfural formation: release peaks at T = 180 – 200 °C, but 160 °C is enough to elicit a sharp increase with respect to NT samples. Oak shows the highest levels among the tested tree species.</w:t>
      </w:r>
    </w:p>
    <w:p w14:paraId="278EAEA8" w14:textId="77777777" w:rsidR="000533D6" w:rsidRDefault="000533D6">
      <w:pPr>
        <w:rPr>
          <w:lang w:val="en-GB"/>
        </w:rPr>
        <w:sectPr w:rsidR="000533D6" w:rsidSect="00EA44E9">
          <w:footerReference w:type="default" r:id="rId15"/>
          <w:type w:val="continuous"/>
          <w:pgSz w:w="11900" w:h="16840"/>
          <w:pgMar w:top="1440" w:right="1797" w:bottom="1440" w:left="1797" w:header="709" w:footer="709" w:gutter="0"/>
          <w:lnNumType w:countBy="1"/>
          <w:cols w:space="708"/>
          <w:docGrid w:linePitch="360"/>
        </w:sectPr>
      </w:pPr>
    </w:p>
    <w:p w14:paraId="5CC144ED" w14:textId="3687D2FB" w:rsidR="000533D6" w:rsidRDefault="009E29F1">
      <w:pPr>
        <w:jc w:val="both"/>
        <w:rPr>
          <w:b/>
          <w:bCs/>
          <w:lang w:val="en-GB"/>
        </w:rPr>
      </w:pPr>
      <w:r>
        <w:rPr>
          <w:b/>
          <w:bCs/>
          <w:noProof/>
          <w:lang w:val="en-GB"/>
        </w:rPr>
        <w:lastRenderedPageBreak/>
        <w:drawing>
          <wp:inline distT="0" distB="0" distL="0" distR="0" wp14:anchorId="13B5BBDB" wp14:editId="72424925">
            <wp:extent cx="8864600" cy="4908550"/>
            <wp:effectExtent l="0" t="0" r="0" b="6350"/>
            <wp:docPr id="8" name="Picture 8"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scatter chart&#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8864600" cy="4908550"/>
                    </a:xfrm>
                    <a:prstGeom prst="rect">
                      <a:avLst/>
                    </a:prstGeom>
                  </pic:spPr>
                </pic:pic>
              </a:graphicData>
            </a:graphic>
          </wp:inline>
        </w:drawing>
      </w:r>
    </w:p>
    <w:p w14:paraId="0986F9FA" w14:textId="77777777" w:rsidR="008A7D8D" w:rsidRDefault="008A7D8D" w:rsidP="000533D6">
      <w:pPr>
        <w:jc w:val="both"/>
        <w:rPr>
          <w:b/>
          <w:bCs/>
          <w:lang w:val="en-GB"/>
        </w:rPr>
      </w:pPr>
    </w:p>
    <w:p w14:paraId="0AD02055" w14:textId="589C9181" w:rsidR="000533D6" w:rsidRDefault="003D5F70" w:rsidP="000533D6">
      <w:pPr>
        <w:jc w:val="both"/>
        <w:rPr>
          <w:lang w:val="en-GB"/>
        </w:rPr>
      </w:pPr>
      <w:r>
        <w:rPr>
          <w:b/>
          <w:bCs/>
          <w:lang w:val="en-GB"/>
        </w:rPr>
        <w:t>F</w:t>
      </w:r>
      <w:r w:rsidR="00FE5D73">
        <w:rPr>
          <w:b/>
          <w:bCs/>
          <w:lang w:val="en-GB"/>
        </w:rPr>
        <w:t>igure</w:t>
      </w:r>
      <w:r>
        <w:rPr>
          <w:b/>
          <w:bCs/>
          <w:lang w:val="en-GB"/>
        </w:rPr>
        <w:t xml:space="preserve"> 3.</w:t>
      </w:r>
      <w:r>
        <w:rPr>
          <w:lang w:val="en-GB"/>
        </w:rPr>
        <w:t xml:space="preserve"> Boxplots for selected mass peaks. Letters indicate significant differences (Tukey’s post-hoc test, </w:t>
      </w:r>
      <w:r>
        <w:rPr>
          <w:i/>
          <w:iCs/>
          <w:lang w:val="en-GB"/>
        </w:rPr>
        <w:t>p</w:t>
      </w:r>
      <w:r>
        <w:rPr>
          <w:lang w:val="en-GB"/>
        </w:rPr>
        <w:t xml:space="preserve"> &lt; 0.01). </w:t>
      </w:r>
      <w:r w:rsidR="000533D6">
        <w:rPr>
          <w:lang w:val="en-GB"/>
        </w:rPr>
        <w:br w:type="page"/>
      </w:r>
    </w:p>
    <w:p w14:paraId="59E0906A" w14:textId="5B3A440D" w:rsidR="000533D6" w:rsidRDefault="00CE2C29" w:rsidP="000533D6">
      <w:pPr>
        <w:jc w:val="both"/>
        <w:rPr>
          <w:b/>
          <w:bCs/>
          <w:lang w:val="en-GB"/>
        </w:rPr>
      </w:pPr>
      <w:r>
        <w:rPr>
          <w:b/>
          <w:bCs/>
          <w:noProof/>
          <w:lang w:val="en-GB"/>
        </w:rPr>
        <w:lastRenderedPageBreak/>
        <w:drawing>
          <wp:inline distT="0" distB="0" distL="0" distR="0" wp14:anchorId="6551929E" wp14:editId="520DF3AF">
            <wp:extent cx="8864600" cy="4908550"/>
            <wp:effectExtent l="0" t="0" r="0" b="6350"/>
            <wp:docPr id="9" name="Pictur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scatter chart&#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8864600" cy="4908550"/>
                    </a:xfrm>
                    <a:prstGeom prst="rect">
                      <a:avLst/>
                    </a:prstGeom>
                  </pic:spPr>
                </pic:pic>
              </a:graphicData>
            </a:graphic>
          </wp:inline>
        </w:drawing>
      </w:r>
    </w:p>
    <w:p w14:paraId="0B7552CF" w14:textId="77777777" w:rsidR="000533D6" w:rsidRDefault="000533D6" w:rsidP="000533D6">
      <w:pPr>
        <w:jc w:val="both"/>
        <w:rPr>
          <w:lang w:val="en-GB"/>
        </w:rPr>
        <w:sectPr w:rsidR="000533D6" w:rsidSect="00EA44E9">
          <w:pgSz w:w="16840" w:h="11900" w:orient="landscape"/>
          <w:pgMar w:top="1797" w:right="1440" w:bottom="1797" w:left="1440" w:header="709" w:footer="709" w:gutter="0"/>
          <w:lnNumType w:countBy="1"/>
          <w:cols w:space="708"/>
          <w:docGrid w:linePitch="360"/>
        </w:sectPr>
      </w:pPr>
      <w:r>
        <w:rPr>
          <w:b/>
          <w:bCs/>
          <w:lang w:val="en-GB"/>
        </w:rPr>
        <w:t>Figure 4.</w:t>
      </w:r>
      <w:r>
        <w:rPr>
          <w:lang w:val="en-GB"/>
        </w:rPr>
        <w:t xml:space="preserve"> Boxplots for selected mass peaks. Letters indicate significant differences (Tukey’s post-hoc test, </w:t>
      </w:r>
      <w:r>
        <w:rPr>
          <w:i/>
          <w:iCs/>
          <w:lang w:val="en-GB"/>
        </w:rPr>
        <w:t>p</w:t>
      </w:r>
      <w:r>
        <w:rPr>
          <w:lang w:val="en-GB"/>
        </w:rPr>
        <w:t xml:space="preserve"> &lt; 0.01). </w:t>
      </w:r>
    </w:p>
    <w:tbl>
      <w:tblPr>
        <w:tblStyle w:val="TableGrid"/>
        <w:tblW w:w="0" w:type="auto"/>
        <w:tblLook w:val="04A0" w:firstRow="1" w:lastRow="0" w:firstColumn="1" w:lastColumn="0" w:noHBand="0" w:noVBand="1"/>
      </w:tblPr>
      <w:tblGrid>
        <w:gridCol w:w="1270"/>
        <w:gridCol w:w="1418"/>
        <w:gridCol w:w="1419"/>
        <w:gridCol w:w="4189"/>
      </w:tblGrid>
      <w:tr w:rsidR="00122F85" w14:paraId="5ACFD0B0" w14:textId="77777777">
        <w:tc>
          <w:tcPr>
            <w:tcW w:w="2688" w:type="dxa"/>
            <w:gridSpan w:val="2"/>
          </w:tcPr>
          <w:p w14:paraId="011730D6" w14:textId="77777777" w:rsidR="00122F85" w:rsidRDefault="003D5F70">
            <w:pPr>
              <w:jc w:val="both"/>
              <w:rPr>
                <w:b/>
                <w:bCs/>
                <w:sz w:val="20"/>
                <w:szCs w:val="20"/>
                <w:lang w:val="en-GB"/>
              </w:rPr>
            </w:pPr>
            <w:r>
              <w:rPr>
                <w:b/>
                <w:bCs/>
                <w:sz w:val="20"/>
                <w:szCs w:val="20"/>
                <w:lang w:val="en-GB"/>
              </w:rPr>
              <w:lastRenderedPageBreak/>
              <w:t>Mass peak</w:t>
            </w:r>
          </w:p>
        </w:tc>
        <w:tc>
          <w:tcPr>
            <w:tcW w:w="1419" w:type="dxa"/>
            <w:vMerge w:val="restart"/>
          </w:tcPr>
          <w:p w14:paraId="71B92ABA" w14:textId="77777777" w:rsidR="00122F85" w:rsidRDefault="003D5F70">
            <w:pPr>
              <w:jc w:val="both"/>
              <w:rPr>
                <w:b/>
                <w:bCs/>
                <w:sz w:val="20"/>
                <w:szCs w:val="20"/>
                <w:lang w:val="en-GB"/>
              </w:rPr>
            </w:pPr>
            <w:r>
              <w:rPr>
                <w:b/>
                <w:bCs/>
                <w:sz w:val="20"/>
                <w:szCs w:val="20"/>
                <w:lang w:val="en-GB"/>
              </w:rPr>
              <w:t>Sum formula</w:t>
            </w:r>
          </w:p>
        </w:tc>
        <w:tc>
          <w:tcPr>
            <w:tcW w:w="4189" w:type="dxa"/>
            <w:vMerge w:val="restart"/>
          </w:tcPr>
          <w:p w14:paraId="67A9091F" w14:textId="77777777" w:rsidR="00122F85" w:rsidRDefault="003D5F70">
            <w:pPr>
              <w:jc w:val="both"/>
              <w:rPr>
                <w:b/>
                <w:bCs/>
                <w:sz w:val="20"/>
                <w:szCs w:val="20"/>
                <w:lang w:val="en-GB"/>
              </w:rPr>
            </w:pPr>
            <w:r>
              <w:rPr>
                <w:b/>
                <w:bCs/>
                <w:sz w:val="20"/>
                <w:szCs w:val="20"/>
                <w:lang w:val="en-GB"/>
              </w:rPr>
              <w:t>Tentative identification</w:t>
            </w:r>
          </w:p>
        </w:tc>
      </w:tr>
      <w:tr w:rsidR="00122F85" w14:paraId="58C5EB3F" w14:textId="77777777">
        <w:tc>
          <w:tcPr>
            <w:tcW w:w="1270" w:type="dxa"/>
          </w:tcPr>
          <w:p w14:paraId="7185D563" w14:textId="77777777" w:rsidR="00122F85" w:rsidRDefault="003D5F70">
            <w:pPr>
              <w:jc w:val="both"/>
              <w:rPr>
                <w:b/>
                <w:bCs/>
                <w:sz w:val="20"/>
                <w:szCs w:val="20"/>
                <w:lang w:val="en-GB"/>
              </w:rPr>
            </w:pPr>
            <w:r>
              <w:rPr>
                <w:b/>
                <w:bCs/>
                <w:sz w:val="20"/>
                <w:szCs w:val="20"/>
                <w:lang w:val="en-GB"/>
              </w:rPr>
              <w:t>Meas. Mass</w:t>
            </w:r>
          </w:p>
        </w:tc>
        <w:tc>
          <w:tcPr>
            <w:tcW w:w="1418" w:type="dxa"/>
          </w:tcPr>
          <w:p w14:paraId="365834EC" w14:textId="77777777" w:rsidR="00122F85" w:rsidRDefault="003D5F70">
            <w:pPr>
              <w:jc w:val="both"/>
              <w:rPr>
                <w:b/>
                <w:bCs/>
                <w:sz w:val="20"/>
                <w:szCs w:val="20"/>
                <w:lang w:val="en-GB"/>
              </w:rPr>
            </w:pPr>
            <w:r>
              <w:rPr>
                <w:b/>
                <w:bCs/>
                <w:sz w:val="20"/>
                <w:szCs w:val="20"/>
                <w:lang w:val="en-GB"/>
              </w:rPr>
              <w:t>Theor. mass</w:t>
            </w:r>
          </w:p>
        </w:tc>
        <w:tc>
          <w:tcPr>
            <w:tcW w:w="1419" w:type="dxa"/>
            <w:vMerge/>
          </w:tcPr>
          <w:p w14:paraId="70F3023F" w14:textId="77777777" w:rsidR="00122F85" w:rsidRDefault="00122F85">
            <w:pPr>
              <w:spacing w:line="360" w:lineRule="auto"/>
              <w:jc w:val="both"/>
              <w:rPr>
                <w:b/>
                <w:bCs/>
                <w:sz w:val="20"/>
                <w:szCs w:val="20"/>
                <w:lang w:val="en-GB"/>
              </w:rPr>
            </w:pPr>
          </w:p>
        </w:tc>
        <w:tc>
          <w:tcPr>
            <w:tcW w:w="4189" w:type="dxa"/>
            <w:vMerge/>
          </w:tcPr>
          <w:p w14:paraId="35AA13CA" w14:textId="77777777" w:rsidR="00122F85" w:rsidRDefault="00122F85">
            <w:pPr>
              <w:spacing w:line="360" w:lineRule="auto"/>
              <w:jc w:val="both"/>
              <w:rPr>
                <w:b/>
                <w:bCs/>
                <w:sz w:val="20"/>
                <w:szCs w:val="20"/>
                <w:lang w:val="en-GB"/>
              </w:rPr>
            </w:pPr>
          </w:p>
        </w:tc>
      </w:tr>
      <w:tr w:rsidR="00122F85" w14:paraId="5D317D87" w14:textId="77777777">
        <w:tc>
          <w:tcPr>
            <w:tcW w:w="1270" w:type="dxa"/>
            <w:shd w:val="clear" w:color="auto" w:fill="EEECE1" w:themeFill="background2"/>
          </w:tcPr>
          <w:p w14:paraId="3BDEB8F0" w14:textId="77777777" w:rsidR="00122F85" w:rsidRDefault="003D5F70">
            <w:pPr>
              <w:spacing w:line="360" w:lineRule="auto"/>
              <w:jc w:val="both"/>
              <w:rPr>
                <w:sz w:val="20"/>
                <w:szCs w:val="20"/>
                <w:lang w:val="en-GB"/>
              </w:rPr>
            </w:pPr>
            <w:r>
              <w:rPr>
                <w:sz w:val="20"/>
                <w:szCs w:val="20"/>
              </w:rPr>
              <w:t>138.137</w:t>
            </w:r>
          </w:p>
        </w:tc>
        <w:tc>
          <w:tcPr>
            <w:tcW w:w="1418" w:type="dxa"/>
            <w:shd w:val="clear" w:color="auto" w:fill="EEECE1" w:themeFill="background2"/>
          </w:tcPr>
          <w:p w14:paraId="6A699BFD" w14:textId="77777777" w:rsidR="00122F85" w:rsidRDefault="003D5F70">
            <w:pPr>
              <w:spacing w:line="360" w:lineRule="auto"/>
              <w:jc w:val="both"/>
              <w:rPr>
                <w:sz w:val="20"/>
                <w:szCs w:val="20"/>
                <w:lang w:val="en-GB"/>
              </w:rPr>
            </w:pPr>
            <w:r>
              <w:rPr>
                <w:sz w:val="20"/>
                <w:szCs w:val="20"/>
                <w:lang w:val="en-GB"/>
              </w:rPr>
              <w:t>138.136</w:t>
            </w:r>
          </w:p>
        </w:tc>
        <w:tc>
          <w:tcPr>
            <w:tcW w:w="1419" w:type="dxa"/>
            <w:shd w:val="clear" w:color="auto" w:fill="EEECE1" w:themeFill="background2"/>
          </w:tcPr>
          <w:p w14:paraId="709219B7" w14:textId="77777777" w:rsidR="00122F85" w:rsidRDefault="003D5F70">
            <w:pPr>
              <w:jc w:val="both"/>
              <w:rPr>
                <w:rFonts w:cs="Calibri"/>
                <w:color w:val="000000"/>
                <w:sz w:val="20"/>
                <w:szCs w:val="20"/>
              </w:rPr>
            </w:pPr>
            <w:r>
              <w:rPr>
                <w:rFonts w:cs="Calibri"/>
                <w:color w:val="000000"/>
                <w:sz w:val="20"/>
                <w:szCs w:val="20"/>
              </w:rPr>
              <w:t>[C</w:t>
            </w:r>
            <w:r>
              <w:rPr>
                <w:rFonts w:cs="Calibri"/>
                <w:color w:val="000000"/>
                <w:sz w:val="20"/>
                <w:szCs w:val="20"/>
                <w:vertAlign w:val="subscript"/>
              </w:rPr>
              <w:t>9</w:t>
            </w:r>
            <w:r>
              <w:rPr>
                <w:rFonts w:cs="Calibri"/>
                <w:color w:val="000000"/>
                <w:sz w:val="20"/>
                <w:szCs w:val="20"/>
                <w:vertAlign w:val="superscript"/>
              </w:rPr>
              <w:t>13</w:t>
            </w:r>
            <w:r>
              <w:rPr>
                <w:rFonts w:cs="Calibri"/>
                <w:color w:val="000000"/>
                <w:sz w:val="20"/>
                <w:szCs w:val="20"/>
              </w:rPr>
              <w:t>CH</w:t>
            </w:r>
            <w:r>
              <w:rPr>
                <w:rFonts w:cs="Calibri"/>
                <w:color w:val="000000"/>
                <w:sz w:val="20"/>
                <w:szCs w:val="20"/>
                <w:vertAlign w:val="subscript"/>
              </w:rPr>
              <w:t>16</w:t>
            </w:r>
            <w:r>
              <w:rPr>
                <w:rFonts w:cs="Calibri"/>
                <w:color w:val="000000"/>
                <w:sz w:val="20"/>
                <w:szCs w:val="20"/>
              </w:rPr>
              <w:t>]H</w:t>
            </w:r>
            <w:r>
              <w:rPr>
                <w:rFonts w:cs="Calibri"/>
                <w:color w:val="000000"/>
                <w:sz w:val="20"/>
                <w:szCs w:val="20"/>
                <w:vertAlign w:val="superscript"/>
              </w:rPr>
              <w:t>+</w:t>
            </w:r>
          </w:p>
        </w:tc>
        <w:tc>
          <w:tcPr>
            <w:tcW w:w="4189" w:type="dxa"/>
            <w:shd w:val="clear" w:color="auto" w:fill="EEECE1" w:themeFill="background2"/>
          </w:tcPr>
          <w:p w14:paraId="2FF17565" w14:textId="77777777" w:rsidR="00122F85" w:rsidRDefault="003D5F70">
            <w:pPr>
              <w:spacing w:line="360" w:lineRule="auto"/>
              <w:rPr>
                <w:sz w:val="20"/>
                <w:szCs w:val="20"/>
                <w:lang w:val="it-IT"/>
              </w:rPr>
            </w:pPr>
            <w:r>
              <w:rPr>
                <w:sz w:val="20"/>
                <w:szCs w:val="20"/>
                <w:lang w:val="it-IT"/>
              </w:rPr>
              <w:t>monoterpenes</w:t>
            </w:r>
          </w:p>
        </w:tc>
      </w:tr>
      <w:tr w:rsidR="00122F85" w14:paraId="56CD0BE9" w14:textId="77777777">
        <w:tc>
          <w:tcPr>
            <w:tcW w:w="1270" w:type="dxa"/>
          </w:tcPr>
          <w:p w14:paraId="4EA99C14" w14:textId="77777777" w:rsidR="00122F85" w:rsidRDefault="003D5F70">
            <w:pPr>
              <w:spacing w:line="360" w:lineRule="auto"/>
              <w:jc w:val="both"/>
              <w:rPr>
                <w:sz w:val="20"/>
                <w:szCs w:val="20"/>
                <w:lang w:val="en-GB"/>
              </w:rPr>
            </w:pPr>
            <w:r>
              <w:rPr>
                <w:sz w:val="20"/>
                <w:szCs w:val="20"/>
                <w:lang w:val="en-GB"/>
              </w:rPr>
              <w:t>205.196</w:t>
            </w:r>
          </w:p>
        </w:tc>
        <w:tc>
          <w:tcPr>
            <w:tcW w:w="1418" w:type="dxa"/>
          </w:tcPr>
          <w:p w14:paraId="5BD584A7" w14:textId="77777777" w:rsidR="00122F85" w:rsidRDefault="003D5F70">
            <w:pPr>
              <w:jc w:val="both"/>
              <w:rPr>
                <w:sz w:val="20"/>
                <w:szCs w:val="20"/>
                <w:lang w:val="en-GB"/>
              </w:rPr>
            </w:pPr>
            <w:r>
              <w:rPr>
                <w:sz w:val="20"/>
                <w:szCs w:val="20"/>
                <w:lang w:val="en-GB"/>
              </w:rPr>
              <w:t>205.195</w:t>
            </w:r>
          </w:p>
        </w:tc>
        <w:tc>
          <w:tcPr>
            <w:tcW w:w="1419" w:type="dxa"/>
          </w:tcPr>
          <w:p w14:paraId="294EEF42" w14:textId="77777777" w:rsidR="00122F85" w:rsidRDefault="003D5F70">
            <w:pPr>
              <w:jc w:val="both"/>
              <w:rPr>
                <w:rFonts w:cs="Calibri"/>
                <w:color w:val="000000"/>
                <w:sz w:val="20"/>
                <w:szCs w:val="20"/>
              </w:rPr>
            </w:pPr>
            <w:r>
              <w:rPr>
                <w:rFonts w:cs="Calibri"/>
                <w:color w:val="000000"/>
                <w:sz w:val="20"/>
                <w:szCs w:val="20"/>
              </w:rPr>
              <w:t>[C</w:t>
            </w:r>
            <w:r>
              <w:rPr>
                <w:rFonts w:cs="Calibri"/>
                <w:color w:val="000000"/>
                <w:sz w:val="20"/>
                <w:szCs w:val="20"/>
                <w:vertAlign w:val="subscript"/>
              </w:rPr>
              <w:t>15</w:t>
            </w:r>
            <w:r>
              <w:rPr>
                <w:rFonts w:cs="Calibri"/>
                <w:color w:val="000000"/>
                <w:sz w:val="20"/>
                <w:szCs w:val="20"/>
              </w:rPr>
              <w:t>H</w:t>
            </w:r>
            <w:r>
              <w:rPr>
                <w:rFonts w:cs="Calibri"/>
                <w:color w:val="000000"/>
                <w:sz w:val="20"/>
                <w:szCs w:val="20"/>
                <w:vertAlign w:val="subscript"/>
              </w:rPr>
              <w:t>24</w:t>
            </w:r>
            <w:r>
              <w:rPr>
                <w:rFonts w:cs="Calibri"/>
                <w:color w:val="000000"/>
                <w:sz w:val="20"/>
                <w:szCs w:val="20"/>
              </w:rPr>
              <w:t>]H</w:t>
            </w:r>
            <w:r>
              <w:rPr>
                <w:rFonts w:cs="Calibri"/>
                <w:color w:val="000000"/>
                <w:sz w:val="20"/>
                <w:szCs w:val="20"/>
                <w:vertAlign w:val="superscript"/>
              </w:rPr>
              <w:t>+</w:t>
            </w:r>
          </w:p>
        </w:tc>
        <w:tc>
          <w:tcPr>
            <w:tcW w:w="4189" w:type="dxa"/>
          </w:tcPr>
          <w:p w14:paraId="543D82BA" w14:textId="77777777" w:rsidR="00122F85" w:rsidRDefault="003D5F70">
            <w:pPr>
              <w:rPr>
                <w:sz w:val="20"/>
                <w:szCs w:val="20"/>
                <w:lang w:val="it-IT"/>
              </w:rPr>
            </w:pPr>
            <w:r>
              <w:rPr>
                <w:sz w:val="20"/>
                <w:szCs w:val="20"/>
              </w:rPr>
              <w:t>sesquiterpenes</w:t>
            </w:r>
          </w:p>
        </w:tc>
      </w:tr>
      <w:tr w:rsidR="00122F85" w14:paraId="50D7DF9E" w14:textId="77777777">
        <w:tc>
          <w:tcPr>
            <w:tcW w:w="1270" w:type="dxa"/>
          </w:tcPr>
          <w:p w14:paraId="134ECA88" w14:textId="77777777" w:rsidR="00122F85" w:rsidRDefault="003D5F70">
            <w:pPr>
              <w:spacing w:line="360" w:lineRule="auto"/>
              <w:jc w:val="both"/>
              <w:rPr>
                <w:sz w:val="20"/>
                <w:szCs w:val="20"/>
                <w:lang w:val="en-GB"/>
              </w:rPr>
            </w:pPr>
            <w:r>
              <w:rPr>
                <w:sz w:val="20"/>
                <w:szCs w:val="20"/>
                <w:lang w:val="en-GB"/>
              </w:rPr>
              <w:t>95.044</w:t>
            </w:r>
          </w:p>
        </w:tc>
        <w:tc>
          <w:tcPr>
            <w:tcW w:w="1418" w:type="dxa"/>
          </w:tcPr>
          <w:p w14:paraId="50BC7190" w14:textId="77777777" w:rsidR="00122F85" w:rsidRDefault="003D5F70">
            <w:pPr>
              <w:spacing w:line="360" w:lineRule="auto"/>
              <w:jc w:val="both"/>
              <w:rPr>
                <w:sz w:val="20"/>
                <w:szCs w:val="20"/>
                <w:lang w:val="en-GB"/>
              </w:rPr>
            </w:pPr>
            <w:r>
              <w:rPr>
                <w:sz w:val="20"/>
                <w:szCs w:val="20"/>
                <w:lang w:val="en-GB"/>
              </w:rPr>
              <w:t>95.049</w:t>
            </w:r>
          </w:p>
        </w:tc>
        <w:tc>
          <w:tcPr>
            <w:tcW w:w="1419" w:type="dxa"/>
          </w:tcPr>
          <w:p w14:paraId="685D76F4" w14:textId="77777777" w:rsidR="00122F85" w:rsidRDefault="003D5F70">
            <w:pPr>
              <w:jc w:val="both"/>
              <w:rPr>
                <w:rFonts w:cs="Calibri"/>
                <w:color w:val="000000"/>
                <w:sz w:val="20"/>
                <w:szCs w:val="20"/>
              </w:rPr>
            </w:pPr>
            <w:r>
              <w:rPr>
                <w:rFonts w:cs="Calibri"/>
                <w:color w:val="000000"/>
                <w:sz w:val="20"/>
                <w:szCs w:val="20"/>
              </w:rPr>
              <w:t>[C</w:t>
            </w:r>
            <w:r>
              <w:rPr>
                <w:rFonts w:cs="Calibri"/>
                <w:color w:val="000000"/>
                <w:sz w:val="20"/>
                <w:szCs w:val="20"/>
                <w:vertAlign w:val="subscript"/>
              </w:rPr>
              <w:t>6</w:t>
            </w:r>
            <w:r>
              <w:rPr>
                <w:rFonts w:cs="Calibri"/>
                <w:color w:val="000000"/>
                <w:sz w:val="20"/>
                <w:szCs w:val="20"/>
              </w:rPr>
              <w:t>H</w:t>
            </w:r>
            <w:r>
              <w:rPr>
                <w:rFonts w:cs="Calibri"/>
                <w:color w:val="000000"/>
                <w:sz w:val="20"/>
                <w:szCs w:val="20"/>
                <w:vertAlign w:val="subscript"/>
              </w:rPr>
              <w:t>6</w:t>
            </w:r>
            <w:r>
              <w:rPr>
                <w:rFonts w:cs="Calibri"/>
                <w:color w:val="000000"/>
                <w:sz w:val="20"/>
                <w:szCs w:val="20"/>
              </w:rPr>
              <w:t>O]H</w:t>
            </w:r>
            <w:r>
              <w:rPr>
                <w:rFonts w:cs="Calibri"/>
                <w:color w:val="000000"/>
                <w:sz w:val="20"/>
                <w:szCs w:val="20"/>
                <w:vertAlign w:val="superscript"/>
              </w:rPr>
              <w:t>+</w:t>
            </w:r>
          </w:p>
        </w:tc>
        <w:tc>
          <w:tcPr>
            <w:tcW w:w="4189" w:type="dxa"/>
          </w:tcPr>
          <w:p w14:paraId="64A96015" w14:textId="10914C30" w:rsidR="00122F85" w:rsidRDefault="009C2D80">
            <w:pPr>
              <w:spacing w:line="360" w:lineRule="auto"/>
              <w:rPr>
                <w:sz w:val="20"/>
                <w:szCs w:val="20"/>
                <w:lang w:val="en-GB"/>
              </w:rPr>
            </w:pPr>
            <w:r>
              <w:rPr>
                <w:sz w:val="20"/>
                <w:szCs w:val="20"/>
                <w:lang w:val="en-GB"/>
              </w:rPr>
              <w:t>P</w:t>
            </w:r>
            <w:r w:rsidR="003D5F70">
              <w:rPr>
                <w:sz w:val="20"/>
                <w:szCs w:val="20"/>
                <w:lang w:val="en-GB"/>
              </w:rPr>
              <w:t>henol</w:t>
            </w:r>
          </w:p>
        </w:tc>
      </w:tr>
      <w:tr w:rsidR="00122F85" w14:paraId="29AE7CEA" w14:textId="77777777">
        <w:tc>
          <w:tcPr>
            <w:tcW w:w="1270" w:type="dxa"/>
          </w:tcPr>
          <w:p w14:paraId="04AA9003" w14:textId="77777777" w:rsidR="00122F85" w:rsidRDefault="003D5F70">
            <w:pPr>
              <w:spacing w:line="360" w:lineRule="auto"/>
              <w:jc w:val="both"/>
              <w:rPr>
                <w:sz w:val="20"/>
                <w:szCs w:val="20"/>
                <w:lang w:val="en-GB"/>
              </w:rPr>
            </w:pPr>
            <w:r>
              <w:rPr>
                <w:sz w:val="20"/>
                <w:szCs w:val="20"/>
              </w:rPr>
              <w:t>109.061</w:t>
            </w:r>
          </w:p>
        </w:tc>
        <w:tc>
          <w:tcPr>
            <w:tcW w:w="1418" w:type="dxa"/>
          </w:tcPr>
          <w:p w14:paraId="1E636DE0" w14:textId="77777777" w:rsidR="00122F85" w:rsidRDefault="003D5F70">
            <w:pPr>
              <w:spacing w:line="360" w:lineRule="auto"/>
              <w:jc w:val="both"/>
              <w:rPr>
                <w:sz w:val="20"/>
                <w:szCs w:val="20"/>
                <w:lang w:val="en-GB"/>
              </w:rPr>
            </w:pPr>
            <w:r>
              <w:rPr>
                <w:sz w:val="20"/>
                <w:szCs w:val="20"/>
                <w:lang w:val="en-GB"/>
              </w:rPr>
              <w:t>109.065</w:t>
            </w:r>
          </w:p>
        </w:tc>
        <w:tc>
          <w:tcPr>
            <w:tcW w:w="1419" w:type="dxa"/>
          </w:tcPr>
          <w:p w14:paraId="677AF959" w14:textId="77777777" w:rsidR="00122F85" w:rsidRDefault="003D5F70">
            <w:pPr>
              <w:jc w:val="both"/>
              <w:rPr>
                <w:rFonts w:cs="Calibri"/>
                <w:color w:val="000000"/>
                <w:sz w:val="20"/>
                <w:szCs w:val="20"/>
              </w:rPr>
            </w:pPr>
            <w:r>
              <w:rPr>
                <w:rFonts w:cs="Calibri"/>
                <w:color w:val="000000"/>
                <w:sz w:val="20"/>
                <w:szCs w:val="20"/>
              </w:rPr>
              <w:t>[C</w:t>
            </w:r>
            <w:r>
              <w:rPr>
                <w:rFonts w:cs="Calibri"/>
                <w:color w:val="000000"/>
                <w:sz w:val="20"/>
                <w:szCs w:val="20"/>
                <w:vertAlign w:val="subscript"/>
              </w:rPr>
              <w:t>7</w:t>
            </w:r>
            <w:r>
              <w:rPr>
                <w:rFonts w:cs="Calibri"/>
                <w:color w:val="000000"/>
                <w:sz w:val="20"/>
                <w:szCs w:val="20"/>
              </w:rPr>
              <w:t>H</w:t>
            </w:r>
            <w:r>
              <w:rPr>
                <w:rFonts w:cs="Calibri"/>
                <w:color w:val="000000"/>
                <w:sz w:val="20"/>
                <w:szCs w:val="20"/>
                <w:vertAlign w:val="subscript"/>
              </w:rPr>
              <w:t>8</w:t>
            </w:r>
            <w:r>
              <w:rPr>
                <w:rFonts w:cs="Calibri"/>
                <w:color w:val="000000"/>
                <w:sz w:val="20"/>
                <w:szCs w:val="20"/>
              </w:rPr>
              <w:t>O]H</w:t>
            </w:r>
            <w:r>
              <w:rPr>
                <w:rFonts w:cs="Calibri"/>
                <w:color w:val="000000"/>
                <w:sz w:val="20"/>
                <w:szCs w:val="20"/>
                <w:vertAlign w:val="superscript"/>
              </w:rPr>
              <w:t>+</w:t>
            </w:r>
          </w:p>
        </w:tc>
        <w:tc>
          <w:tcPr>
            <w:tcW w:w="4189" w:type="dxa"/>
          </w:tcPr>
          <w:p w14:paraId="73BCB667" w14:textId="77777777" w:rsidR="00122F85" w:rsidRDefault="003D5F70">
            <w:pPr>
              <w:spacing w:line="360" w:lineRule="auto"/>
              <w:rPr>
                <w:sz w:val="20"/>
                <w:szCs w:val="20"/>
                <w:lang w:val="en-GB"/>
              </w:rPr>
            </w:pPr>
            <w:r>
              <w:rPr>
                <w:sz w:val="20"/>
                <w:szCs w:val="20"/>
                <w:lang w:val="en-GB"/>
              </w:rPr>
              <w:t>2-methyl-phenol</w:t>
            </w:r>
          </w:p>
        </w:tc>
      </w:tr>
      <w:tr w:rsidR="00122F85" w14:paraId="33F38D12" w14:textId="77777777">
        <w:tc>
          <w:tcPr>
            <w:tcW w:w="1270" w:type="dxa"/>
            <w:shd w:val="clear" w:color="auto" w:fill="EEECE1" w:themeFill="background2"/>
          </w:tcPr>
          <w:p w14:paraId="25FADB46" w14:textId="77777777" w:rsidR="00122F85" w:rsidRDefault="003D5F70">
            <w:pPr>
              <w:spacing w:line="360" w:lineRule="auto"/>
              <w:jc w:val="both"/>
              <w:rPr>
                <w:sz w:val="20"/>
                <w:szCs w:val="20"/>
                <w:lang w:val="en-GB"/>
              </w:rPr>
            </w:pPr>
            <w:r>
              <w:rPr>
                <w:sz w:val="20"/>
                <w:szCs w:val="20"/>
              </w:rPr>
              <w:t>123.081</w:t>
            </w:r>
          </w:p>
        </w:tc>
        <w:tc>
          <w:tcPr>
            <w:tcW w:w="1418" w:type="dxa"/>
            <w:shd w:val="clear" w:color="auto" w:fill="EEECE1" w:themeFill="background2"/>
          </w:tcPr>
          <w:p w14:paraId="23BAE419" w14:textId="77777777" w:rsidR="00122F85" w:rsidRDefault="003D5F70">
            <w:pPr>
              <w:spacing w:line="360" w:lineRule="auto"/>
              <w:jc w:val="both"/>
              <w:rPr>
                <w:sz w:val="20"/>
                <w:szCs w:val="20"/>
                <w:lang w:val="en-GB"/>
              </w:rPr>
            </w:pPr>
            <w:r>
              <w:rPr>
                <w:sz w:val="20"/>
                <w:szCs w:val="20"/>
                <w:lang w:val="en-GB"/>
              </w:rPr>
              <w:t>123.080</w:t>
            </w:r>
          </w:p>
        </w:tc>
        <w:tc>
          <w:tcPr>
            <w:tcW w:w="1419" w:type="dxa"/>
            <w:shd w:val="clear" w:color="auto" w:fill="EEECE1" w:themeFill="background2"/>
          </w:tcPr>
          <w:p w14:paraId="53CD5A7D" w14:textId="77777777" w:rsidR="00122F85" w:rsidRDefault="003D5F70">
            <w:pPr>
              <w:jc w:val="both"/>
              <w:rPr>
                <w:rFonts w:cs="Calibri"/>
                <w:color w:val="000000"/>
                <w:sz w:val="20"/>
                <w:szCs w:val="20"/>
              </w:rPr>
            </w:pPr>
            <w:r>
              <w:rPr>
                <w:rFonts w:cs="Calibri"/>
                <w:color w:val="000000"/>
                <w:sz w:val="20"/>
                <w:szCs w:val="20"/>
              </w:rPr>
              <w:t>[C</w:t>
            </w:r>
            <w:r>
              <w:rPr>
                <w:rFonts w:cs="Calibri"/>
                <w:color w:val="000000"/>
                <w:sz w:val="20"/>
                <w:szCs w:val="20"/>
                <w:vertAlign w:val="subscript"/>
              </w:rPr>
              <w:t>8</w:t>
            </w:r>
            <w:r>
              <w:rPr>
                <w:rFonts w:cs="Calibri"/>
                <w:color w:val="000000"/>
                <w:sz w:val="20"/>
                <w:szCs w:val="20"/>
              </w:rPr>
              <w:t>H</w:t>
            </w:r>
            <w:r>
              <w:rPr>
                <w:rFonts w:cs="Calibri"/>
                <w:color w:val="000000"/>
                <w:sz w:val="20"/>
                <w:szCs w:val="20"/>
                <w:vertAlign w:val="subscript"/>
              </w:rPr>
              <w:t>10</w:t>
            </w:r>
            <w:r>
              <w:rPr>
                <w:rFonts w:cs="Calibri"/>
                <w:color w:val="000000"/>
                <w:sz w:val="20"/>
                <w:szCs w:val="20"/>
              </w:rPr>
              <w:t>O]H</w:t>
            </w:r>
            <w:r>
              <w:rPr>
                <w:rFonts w:cs="Calibri"/>
                <w:color w:val="000000"/>
                <w:sz w:val="20"/>
                <w:szCs w:val="20"/>
                <w:vertAlign w:val="superscript"/>
              </w:rPr>
              <w:t>+</w:t>
            </w:r>
          </w:p>
        </w:tc>
        <w:tc>
          <w:tcPr>
            <w:tcW w:w="4189" w:type="dxa"/>
            <w:shd w:val="clear" w:color="auto" w:fill="EEECE1" w:themeFill="background2"/>
          </w:tcPr>
          <w:p w14:paraId="08154B39" w14:textId="77777777" w:rsidR="00122F85" w:rsidRDefault="003D5F70">
            <w:pPr>
              <w:spacing w:line="360" w:lineRule="auto"/>
              <w:rPr>
                <w:sz w:val="20"/>
                <w:szCs w:val="20"/>
                <w:lang w:val="en-GB"/>
              </w:rPr>
            </w:pPr>
            <w:r>
              <w:rPr>
                <w:sz w:val="20"/>
                <w:szCs w:val="20"/>
                <w:lang w:val="en-GB"/>
              </w:rPr>
              <w:t>2,3-methyl-phenol</w:t>
            </w:r>
          </w:p>
        </w:tc>
      </w:tr>
      <w:tr w:rsidR="00122F85" w14:paraId="3F56C5AF" w14:textId="77777777">
        <w:tc>
          <w:tcPr>
            <w:tcW w:w="1270" w:type="dxa"/>
            <w:shd w:val="clear" w:color="auto" w:fill="EEECE1" w:themeFill="background2"/>
          </w:tcPr>
          <w:p w14:paraId="2177AA55" w14:textId="77777777" w:rsidR="00122F85" w:rsidRDefault="003D5F70">
            <w:pPr>
              <w:spacing w:line="360" w:lineRule="auto"/>
              <w:jc w:val="both"/>
              <w:rPr>
                <w:sz w:val="20"/>
                <w:szCs w:val="20"/>
                <w:lang w:val="en-GB"/>
              </w:rPr>
            </w:pPr>
            <w:r>
              <w:rPr>
                <w:sz w:val="20"/>
                <w:szCs w:val="20"/>
                <w:lang w:val="en-GB"/>
              </w:rPr>
              <w:t>101.095</w:t>
            </w:r>
          </w:p>
        </w:tc>
        <w:tc>
          <w:tcPr>
            <w:tcW w:w="1418" w:type="dxa"/>
            <w:shd w:val="clear" w:color="auto" w:fill="EEECE1" w:themeFill="background2"/>
          </w:tcPr>
          <w:p w14:paraId="06CE3A9A" w14:textId="77777777" w:rsidR="00122F85" w:rsidRDefault="003D5F70">
            <w:pPr>
              <w:jc w:val="both"/>
              <w:rPr>
                <w:sz w:val="20"/>
                <w:szCs w:val="20"/>
                <w:lang w:val="en-GB"/>
              </w:rPr>
            </w:pPr>
            <w:r>
              <w:rPr>
                <w:rFonts w:cs="Calibri"/>
                <w:color w:val="000000"/>
                <w:sz w:val="20"/>
                <w:szCs w:val="20"/>
              </w:rPr>
              <w:t>101.096</w:t>
            </w:r>
          </w:p>
        </w:tc>
        <w:tc>
          <w:tcPr>
            <w:tcW w:w="1419" w:type="dxa"/>
            <w:shd w:val="clear" w:color="auto" w:fill="EEECE1" w:themeFill="background2"/>
          </w:tcPr>
          <w:p w14:paraId="30AAD081" w14:textId="77777777" w:rsidR="00122F85" w:rsidRDefault="003D5F70">
            <w:pPr>
              <w:jc w:val="both"/>
              <w:rPr>
                <w:sz w:val="20"/>
                <w:szCs w:val="20"/>
                <w:lang w:val="en-GB"/>
              </w:rPr>
            </w:pPr>
            <w:r>
              <w:rPr>
                <w:rFonts w:cs="Calibri"/>
                <w:color w:val="000000"/>
                <w:sz w:val="20"/>
                <w:szCs w:val="20"/>
              </w:rPr>
              <w:t>[C</w:t>
            </w:r>
            <w:r>
              <w:rPr>
                <w:rFonts w:cs="Calibri"/>
                <w:color w:val="000000"/>
                <w:sz w:val="20"/>
                <w:szCs w:val="20"/>
                <w:vertAlign w:val="subscript"/>
              </w:rPr>
              <w:t>6</w:t>
            </w:r>
            <w:r>
              <w:rPr>
                <w:rFonts w:cs="Calibri"/>
                <w:color w:val="000000"/>
                <w:sz w:val="20"/>
                <w:szCs w:val="20"/>
              </w:rPr>
              <w:t>H</w:t>
            </w:r>
            <w:r>
              <w:rPr>
                <w:rFonts w:cs="Calibri"/>
                <w:color w:val="000000"/>
                <w:sz w:val="20"/>
                <w:szCs w:val="20"/>
                <w:vertAlign w:val="subscript"/>
              </w:rPr>
              <w:t>12</w:t>
            </w:r>
            <w:r>
              <w:rPr>
                <w:rFonts w:cs="Calibri"/>
                <w:color w:val="000000"/>
                <w:sz w:val="20"/>
                <w:szCs w:val="20"/>
              </w:rPr>
              <w:t>O]H</w:t>
            </w:r>
            <w:r>
              <w:rPr>
                <w:rFonts w:cs="Calibri"/>
                <w:color w:val="000000"/>
                <w:sz w:val="20"/>
                <w:szCs w:val="20"/>
                <w:vertAlign w:val="superscript"/>
              </w:rPr>
              <w:t>+</w:t>
            </w:r>
          </w:p>
        </w:tc>
        <w:tc>
          <w:tcPr>
            <w:tcW w:w="4189" w:type="dxa"/>
            <w:shd w:val="clear" w:color="auto" w:fill="EEECE1" w:themeFill="background2"/>
          </w:tcPr>
          <w:p w14:paraId="240DC54C" w14:textId="77777777" w:rsidR="00122F85" w:rsidRDefault="003D5F70">
            <w:pPr>
              <w:rPr>
                <w:rFonts w:cs="Calibri"/>
                <w:color w:val="000000"/>
                <w:sz w:val="20"/>
                <w:szCs w:val="20"/>
              </w:rPr>
            </w:pPr>
            <w:r>
              <w:rPr>
                <w:rFonts w:cs="Calibri"/>
                <w:color w:val="000000"/>
                <w:sz w:val="20"/>
                <w:szCs w:val="20"/>
              </w:rPr>
              <w:t>hexanal</w:t>
            </w:r>
          </w:p>
        </w:tc>
      </w:tr>
      <w:tr w:rsidR="00122F85" w14:paraId="2EC2F591" w14:textId="77777777">
        <w:tc>
          <w:tcPr>
            <w:tcW w:w="1270" w:type="dxa"/>
          </w:tcPr>
          <w:p w14:paraId="7EEA9294" w14:textId="77777777" w:rsidR="00122F85" w:rsidRDefault="003D5F70">
            <w:pPr>
              <w:spacing w:line="360" w:lineRule="auto"/>
              <w:jc w:val="both"/>
              <w:rPr>
                <w:sz w:val="20"/>
                <w:szCs w:val="20"/>
                <w:lang w:val="en-GB"/>
              </w:rPr>
            </w:pPr>
            <w:r>
              <w:rPr>
                <w:sz w:val="20"/>
                <w:szCs w:val="20"/>
                <w:lang w:val="en-GB"/>
              </w:rPr>
              <w:t>115.112</w:t>
            </w:r>
          </w:p>
        </w:tc>
        <w:tc>
          <w:tcPr>
            <w:tcW w:w="1418" w:type="dxa"/>
          </w:tcPr>
          <w:p w14:paraId="080626F7" w14:textId="77777777" w:rsidR="00122F85" w:rsidRDefault="003D5F70">
            <w:pPr>
              <w:spacing w:line="360" w:lineRule="auto"/>
              <w:jc w:val="both"/>
              <w:rPr>
                <w:sz w:val="20"/>
                <w:szCs w:val="20"/>
                <w:lang w:val="en-GB"/>
              </w:rPr>
            </w:pPr>
            <w:r>
              <w:rPr>
                <w:sz w:val="20"/>
                <w:szCs w:val="20"/>
                <w:lang w:val="en-GB"/>
              </w:rPr>
              <w:t>115.112</w:t>
            </w:r>
          </w:p>
        </w:tc>
        <w:tc>
          <w:tcPr>
            <w:tcW w:w="1419" w:type="dxa"/>
          </w:tcPr>
          <w:p w14:paraId="6F11741F" w14:textId="77777777" w:rsidR="00122F85" w:rsidRDefault="003D5F70">
            <w:pPr>
              <w:jc w:val="both"/>
              <w:rPr>
                <w:rFonts w:cs="Calibri"/>
                <w:color w:val="000000"/>
                <w:sz w:val="20"/>
                <w:szCs w:val="20"/>
              </w:rPr>
            </w:pPr>
            <w:r>
              <w:rPr>
                <w:rFonts w:cs="Calibri"/>
                <w:color w:val="000000"/>
                <w:sz w:val="20"/>
                <w:szCs w:val="20"/>
              </w:rPr>
              <w:t>[C</w:t>
            </w:r>
            <w:r>
              <w:rPr>
                <w:rFonts w:cs="Calibri"/>
                <w:color w:val="000000"/>
                <w:sz w:val="20"/>
                <w:szCs w:val="20"/>
                <w:vertAlign w:val="subscript"/>
              </w:rPr>
              <w:t>7</w:t>
            </w:r>
            <w:r>
              <w:rPr>
                <w:rFonts w:cs="Calibri"/>
                <w:color w:val="000000"/>
                <w:sz w:val="20"/>
                <w:szCs w:val="20"/>
              </w:rPr>
              <w:t>H</w:t>
            </w:r>
            <w:r>
              <w:rPr>
                <w:rFonts w:cs="Calibri"/>
                <w:color w:val="000000"/>
                <w:sz w:val="20"/>
                <w:szCs w:val="20"/>
                <w:vertAlign w:val="subscript"/>
              </w:rPr>
              <w:t>14</w:t>
            </w:r>
            <w:r>
              <w:rPr>
                <w:rFonts w:cs="Calibri"/>
                <w:color w:val="000000"/>
                <w:sz w:val="20"/>
                <w:szCs w:val="20"/>
              </w:rPr>
              <w:t xml:space="preserve"> O]H</w:t>
            </w:r>
            <w:r>
              <w:rPr>
                <w:rFonts w:cs="Calibri"/>
                <w:color w:val="000000"/>
                <w:sz w:val="20"/>
                <w:szCs w:val="20"/>
                <w:vertAlign w:val="superscript"/>
              </w:rPr>
              <w:t>+</w:t>
            </w:r>
          </w:p>
        </w:tc>
        <w:tc>
          <w:tcPr>
            <w:tcW w:w="4189" w:type="dxa"/>
          </w:tcPr>
          <w:p w14:paraId="0BA0B16A" w14:textId="77777777" w:rsidR="00122F85" w:rsidRDefault="003D5F70">
            <w:pPr>
              <w:spacing w:line="360" w:lineRule="auto"/>
              <w:rPr>
                <w:sz w:val="20"/>
                <w:szCs w:val="20"/>
                <w:lang w:val="en-GB"/>
              </w:rPr>
            </w:pPr>
            <w:r>
              <w:rPr>
                <w:sz w:val="20"/>
                <w:szCs w:val="20"/>
                <w:lang w:val="en-GB"/>
              </w:rPr>
              <w:t>2-heptanone</w:t>
            </w:r>
          </w:p>
        </w:tc>
      </w:tr>
      <w:tr w:rsidR="00122F85" w14:paraId="2CD1F91A" w14:textId="77777777">
        <w:tc>
          <w:tcPr>
            <w:tcW w:w="1270" w:type="dxa"/>
          </w:tcPr>
          <w:p w14:paraId="08538F26" w14:textId="77777777" w:rsidR="00122F85" w:rsidRDefault="003D5F70">
            <w:pPr>
              <w:spacing w:line="360" w:lineRule="auto"/>
              <w:jc w:val="both"/>
              <w:rPr>
                <w:sz w:val="20"/>
                <w:szCs w:val="20"/>
                <w:lang w:val="en-GB"/>
              </w:rPr>
            </w:pPr>
            <w:r>
              <w:rPr>
                <w:sz w:val="20"/>
                <w:szCs w:val="20"/>
                <w:lang w:val="en-GB"/>
              </w:rPr>
              <w:t>127.112</w:t>
            </w:r>
          </w:p>
        </w:tc>
        <w:tc>
          <w:tcPr>
            <w:tcW w:w="1418" w:type="dxa"/>
          </w:tcPr>
          <w:p w14:paraId="08A7659F" w14:textId="77777777" w:rsidR="00122F85" w:rsidRDefault="003D5F70">
            <w:pPr>
              <w:jc w:val="both"/>
              <w:rPr>
                <w:rFonts w:cs="Calibri"/>
                <w:color w:val="000000"/>
                <w:sz w:val="20"/>
                <w:szCs w:val="20"/>
              </w:rPr>
            </w:pPr>
            <w:r>
              <w:rPr>
                <w:rFonts w:cs="Calibri"/>
                <w:color w:val="000000"/>
                <w:sz w:val="20"/>
                <w:szCs w:val="20"/>
              </w:rPr>
              <w:t>127.112</w:t>
            </w:r>
          </w:p>
        </w:tc>
        <w:tc>
          <w:tcPr>
            <w:tcW w:w="1419" w:type="dxa"/>
          </w:tcPr>
          <w:p w14:paraId="18F23CD0" w14:textId="77777777" w:rsidR="00122F85" w:rsidRDefault="003D5F70">
            <w:pPr>
              <w:spacing w:line="360" w:lineRule="auto"/>
              <w:jc w:val="both"/>
              <w:rPr>
                <w:sz w:val="20"/>
                <w:szCs w:val="20"/>
                <w:lang w:val="en-GB"/>
              </w:rPr>
            </w:pPr>
            <w:r>
              <w:rPr>
                <w:rFonts w:cs="Calibri"/>
                <w:color w:val="000000"/>
                <w:sz w:val="20"/>
                <w:szCs w:val="20"/>
              </w:rPr>
              <w:t>[C</w:t>
            </w:r>
            <w:r>
              <w:rPr>
                <w:rFonts w:cs="Calibri"/>
                <w:color w:val="000000"/>
                <w:sz w:val="20"/>
                <w:szCs w:val="20"/>
                <w:vertAlign w:val="subscript"/>
              </w:rPr>
              <w:t>8</w:t>
            </w:r>
            <w:r>
              <w:rPr>
                <w:rFonts w:cs="Calibri"/>
                <w:color w:val="000000"/>
                <w:sz w:val="20"/>
                <w:szCs w:val="20"/>
              </w:rPr>
              <w:t>H</w:t>
            </w:r>
            <w:r>
              <w:rPr>
                <w:rFonts w:cs="Calibri"/>
                <w:color w:val="000000"/>
                <w:sz w:val="20"/>
                <w:szCs w:val="20"/>
                <w:vertAlign w:val="subscript"/>
              </w:rPr>
              <w:t>14</w:t>
            </w:r>
            <w:r>
              <w:rPr>
                <w:rFonts w:cs="Calibri"/>
                <w:color w:val="000000"/>
                <w:sz w:val="20"/>
                <w:szCs w:val="20"/>
              </w:rPr>
              <w:t>O]H</w:t>
            </w:r>
            <w:r>
              <w:rPr>
                <w:rFonts w:cs="Calibri"/>
                <w:color w:val="000000"/>
                <w:sz w:val="20"/>
                <w:szCs w:val="20"/>
                <w:vertAlign w:val="superscript"/>
              </w:rPr>
              <w:t>+</w:t>
            </w:r>
          </w:p>
        </w:tc>
        <w:tc>
          <w:tcPr>
            <w:tcW w:w="4189" w:type="dxa"/>
          </w:tcPr>
          <w:p w14:paraId="2013A5F2" w14:textId="77777777" w:rsidR="00122F85" w:rsidRDefault="003D5F70">
            <w:pPr>
              <w:spacing w:line="360" w:lineRule="auto"/>
              <w:rPr>
                <w:sz w:val="20"/>
                <w:szCs w:val="20"/>
                <w:lang w:val="en-GB"/>
              </w:rPr>
            </w:pPr>
            <w:r>
              <w:rPr>
                <w:sz w:val="20"/>
                <w:szCs w:val="20"/>
                <w:lang w:val="en-GB"/>
              </w:rPr>
              <w:t>2-(E)-octenal</w:t>
            </w:r>
          </w:p>
        </w:tc>
      </w:tr>
      <w:tr w:rsidR="00122F85" w14:paraId="6B65D1B7" w14:textId="77777777">
        <w:tc>
          <w:tcPr>
            <w:tcW w:w="1270" w:type="dxa"/>
          </w:tcPr>
          <w:p w14:paraId="0E4E192A" w14:textId="77777777" w:rsidR="00122F85" w:rsidRDefault="003D5F70">
            <w:pPr>
              <w:spacing w:line="360" w:lineRule="auto"/>
              <w:jc w:val="both"/>
              <w:rPr>
                <w:sz w:val="20"/>
                <w:szCs w:val="20"/>
                <w:lang w:val="en-GB"/>
              </w:rPr>
            </w:pPr>
            <w:r>
              <w:rPr>
                <w:sz w:val="20"/>
                <w:szCs w:val="20"/>
                <w:lang w:val="en-GB"/>
              </w:rPr>
              <w:t>141.127</w:t>
            </w:r>
          </w:p>
        </w:tc>
        <w:tc>
          <w:tcPr>
            <w:tcW w:w="1418" w:type="dxa"/>
          </w:tcPr>
          <w:p w14:paraId="65281501" w14:textId="77777777" w:rsidR="00122F85" w:rsidRDefault="003D5F70">
            <w:pPr>
              <w:jc w:val="both"/>
              <w:rPr>
                <w:rFonts w:cs="Calibri"/>
                <w:color w:val="000000"/>
                <w:sz w:val="20"/>
                <w:szCs w:val="20"/>
              </w:rPr>
            </w:pPr>
            <w:r>
              <w:rPr>
                <w:rFonts w:cs="Calibri"/>
                <w:color w:val="000000"/>
                <w:sz w:val="20"/>
                <w:szCs w:val="20"/>
              </w:rPr>
              <w:t>141.127</w:t>
            </w:r>
          </w:p>
        </w:tc>
        <w:tc>
          <w:tcPr>
            <w:tcW w:w="1419" w:type="dxa"/>
          </w:tcPr>
          <w:p w14:paraId="4DBAC2C5" w14:textId="77777777" w:rsidR="00122F85" w:rsidRDefault="003D5F70">
            <w:pPr>
              <w:spacing w:line="360" w:lineRule="auto"/>
              <w:jc w:val="both"/>
              <w:rPr>
                <w:sz w:val="20"/>
                <w:szCs w:val="20"/>
                <w:lang w:val="en-GB"/>
              </w:rPr>
            </w:pPr>
            <w:r>
              <w:rPr>
                <w:rFonts w:cs="Calibri"/>
                <w:color w:val="000000"/>
                <w:sz w:val="20"/>
                <w:szCs w:val="20"/>
              </w:rPr>
              <w:t>[C</w:t>
            </w:r>
            <w:r>
              <w:rPr>
                <w:rFonts w:cs="Calibri"/>
                <w:color w:val="000000"/>
                <w:sz w:val="20"/>
                <w:szCs w:val="20"/>
                <w:vertAlign w:val="subscript"/>
              </w:rPr>
              <w:t>9</w:t>
            </w:r>
            <w:r>
              <w:rPr>
                <w:rFonts w:cs="Calibri"/>
                <w:color w:val="000000"/>
                <w:sz w:val="20"/>
                <w:szCs w:val="20"/>
              </w:rPr>
              <w:t>H</w:t>
            </w:r>
            <w:r>
              <w:rPr>
                <w:rFonts w:cs="Calibri"/>
                <w:color w:val="000000"/>
                <w:sz w:val="20"/>
                <w:szCs w:val="20"/>
                <w:vertAlign w:val="subscript"/>
              </w:rPr>
              <w:t>16</w:t>
            </w:r>
            <w:r>
              <w:rPr>
                <w:rFonts w:cs="Calibri"/>
                <w:color w:val="000000"/>
                <w:sz w:val="20"/>
                <w:szCs w:val="20"/>
              </w:rPr>
              <w:t>O]H</w:t>
            </w:r>
            <w:r>
              <w:rPr>
                <w:rFonts w:cs="Calibri"/>
                <w:color w:val="000000"/>
                <w:sz w:val="20"/>
                <w:szCs w:val="20"/>
                <w:vertAlign w:val="superscript"/>
              </w:rPr>
              <w:t>+</w:t>
            </w:r>
          </w:p>
        </w:tc>
        <w:tc>
          <w:tcPr>
            <w:tcW w:w="4189" w:type="dxa"/>
          </w:tcPr>
          <w:p w14:paraId="10CEDFA1" w14:textId="77777777" w:rsidR="00122F85" w:rsidRDefault="003D5F70">
            <w:pPr>
              <w:rPr>
                <w:rFonts w:cs="Calibri"/>
                <w:color w:val="000000"/>
                <w:sz w:val="20"/>
                <w:szCs w:val="20"/>
              </w:rPr>
            </w:pPr>
            <w:r>
              <w:rPr>
                <w:rFonts w:cs="Calibri"/>
                <w:color w:val="000000"/>
                <w:sz w:val="20"/>
                <w:szCs w:val="20"/>
              </w:rPr>
              <w:t>2-(E)-nonenal</w:t>
            </w:r>
          </w:p>
        </w:tc>
      </w:tr>
      <w:tr w:rsidR="00122F85" w14:paraId="1B6D1039" w14:textId="77777777">
        <w:tc>
          <w:tcPr>
            <w:tcW w:w="1270" w:type="dxa"/>
          </w:tcPr>
          <w:p w14:paraId="3C2B5C75" w14:textId="77777777" w:rsidR="00122F85" w:rsidRDefault="003D5F70">
            <w:pPr>
              <w:spacing w:line="360" w:lineRule="auto"/>
              <w:jc w:val="both"/>
              <w:rPr>
                <w:sz w:val="20"/>
                <w:szCs w:val="20"/>
                <w:lang w:val="en-GB"/>
              </w:rPr>
            </w:pPr>
            <w:r>
              <w:rPr>
                <w:sz w:val="20"/>
                <w:szCs w:val="20"/>
                <w:lang w:val="en-GB"/>
              </w:rPr>
              <w:t>143.143</w:t>
            </w:r>
          </w:p>
        </w:tc>
        <w:tc>
          <w:tcPr>
            <w:tcW w:w="1418" w:type="dxa"/>
          </w:tcPr>
          <w:p w14:paraId="6686BB75" w14:textId="77777777" w:rsidR="00122F85" w:rsidRDefault="003D5F70">
            <w:pPr>
              <w:spacing w:line="360" w:lineRule="auto"/>
              <w:jc w:val="both"/>
              <w:rPr>
                <w:sz w:val="20"/>
                <w:szCs w:val="20"/>
                <w:lang w:val="en-GB"/>
              </w:rPr>
            </w:pPr>
            <w:r>
              <w:rPr>
                <w:sz w:val="20"/>
                <w:szCs w:val="20"/>
                <w:lang w:val="en-GB"/>
              </w:rPr>
              <w:t>143.143</w:t>
            </w:r>
          </w:p>
        </w:tc>
        <w:tc>
          <w:tcPr>
            <w:tcW w:w="1419" w:type="dxa"/>
          </w:tcPr>
          <w:p w14:paraId="59D2783B" w14:textId="77777777" w:rsidR="00122F85" w:rsidRDefault="003D5F70">
            <w:pPr>
              <w:jc w:val="both"/>
              <w:rPr>
                <w:rFonts w:cs="Calibri"/>
                <w:color w:val="000000"/>
                <w:sz w:val="20"/>
                <w:szCs w:val="20"/>
              </w:rPr>
            </w:pPr>
            <w:r>
              <w:rPr>
                <w:rFonts w:cs="Calibri"/>
                <w:color w:val="000000"/>
                <w:sz w:val="20"/>
                <w:szCs w:val="20"/>
              </w:rPr>
              <w:t>[C</w:t>
            </w:r>
            <w:r>
              <w:rPr>
                <w:rFonts w:cs="Calibri"/>
                <w:color w:val="000000"/>
                <w:sz w:val="20"/>
                <w:szCs w:val="20"/>
                <w:vertAlign w:val="subscript"/>
              </w:rPr>
              <w:t>9</w:t>
            </w:r>
            <w:r>
              <w:rPr>
                <w:rFonts w:cs="Calibri"/>
                <w:color w:val="000000"/>
                <w:sz w:val="20"/>
                <w:szCs w:val="20"/>
              </w:rPr>
              <w:t>H</w:t>
            </w:r>
            <w:r>
              <w:rPr>
                <w:rFonts w:cs="Calibri"/>
                <w:color w:val="000000"/>
                <w:sz w:val="20"/>
                <w:szCs w:val="20"/>
                <w:vertAlign w:val="subscript"/>
              </w:rPr>
              <w:t>18</w:t>
            </w:r>
            <w:r>
              <w:rPr>
                <w:rFonts w:cs="Calibri"/>
                <w:color w:val="000000"/>
                <w:sz w:val="20"/>
                <w:szCs w:val="20"/>
              </w:rPr>
              <w:t>O]H</w:t>
            </w:r>
            <w:r>
              <w:rPr>
                <w:rFonts w:cs="Calibri"/>
                <w:color w:val="000000"/>
                <w:sz w:val="20"/>
                <w:szCs w:val="20"/>
                <w:vertAlign w:val="superscript"/>
              </w:rPr>
              <w:t>+</w:t>
            </w:r>
          </w:p>
        </w:tc>
        <w:tc>
          <w:tcPr>
            <w:tcW w:w="4189" w:type="dxa"/>
          </w:tcPr>
          <w:p w14:paraId="7A5B4B84" w14:textId="77777777" w:rsidR="00122F85" w:rsidRDefault="003D5F70">
            <w:pPr>
              <w:rPr>
                <w:rFonts w:cs="Calibri"/>
                <w:color w:val="000000"/>
                <w:sz w:val="20"/>
                <w:szCs w:val="20"/>
              </w:rPr>
            </w:pPr>
            <w:r>
              <w:rPr>
                <w:rFonts w:cs="Calibri"/>
                <w:color w:val="000000"/>
                <w:sz w:val="20"/>
                <w:szCs w:val="20"/>
              </w:rPr>
              <w:t>Nonanal</w:t>
            </w:r>
          </w:p>
        </w:tc>
      </w:tr>
      <w:tr w:rsidR="00122F85" w14:paraId="101294B8" w14:textId="77777777">
        <w:tc>
          <w:tcPr>
            <w:tcW w:w="1270" w:type="dxa"/>
            <w:shd w:val="clear" w:color="auto" w:fill="EEECE1" w:themeFill="background2"/>
          </w:tcPr>
          <w:p w14:paraId="42142B8E" w14:textId="77777777" w:rsidR="00122F85" w:rsidRDefault="003D5F70">
            <w:pPr>
              <w:spacing w:line="360" w:lineRule="auto"/>
              <w:jc w:val="both"/>
              <w:rPr>
                <w:sz w:val="20"/>
                <w:szCs w:val="20"/>
                <w:lang w:val="en-GB"/>
              </w:rPr>
            </w:pPr>
            <w:r>
              <w:rPr>
                <w:sz w:val="20"/>
                <w:szCs w:val="20"/>
                <w:lang w:val="en-GB"/>
              </w:rPr>
              <w:t>117.091</w:t>
            </w:r>
          </w:p>
        </w:tc>
        <w:tc>
          <w:tcPr>
            <w:tcW w:w="1418" w:type="dxa"/>
            <w:shd w:val="clear" w:color="auto" w:fill="EEECE1" w:themeFill="background2"/>
          </w:tcPr>
          <w:p w14:paraId="1AD7C00E" w14:textId="77777777" w:rsidR="00122F85" w:rsidRDefault="003D5F70">
            <w:pPr>
              <w:spacing w:line="360" w:lineRule="auto"/>
              <w:jc w:val="both"/>
              <w:rPr>
                <w:sz w:val="20"/>
                <w:szCs w:val="20"/>
                <w:lang w:val="en-GB"/>
              </w:rPr>
            </w:pPr>
            <w:r>
              <w:rPr>
                <w:sz w:val="20"/>
                <w:szCs w:val="20"/>
                <w:lang w:val="en-GB"/>
              </w:rPr>
              <w:t>117.091</w:t>
            </w:r>
          </w:p>
        </w:tc>
        <w:tc>
          <w:tcPr>
            <w:tcW w:w="1419" w:type="dxa"/>
            <w:shd w:val="clear" w:color="auto" w:fill="EEECE1" w:themeFill="background2"/>
          </w:tcPr>
          <w:p w14:paraId="61EF87EA" w14:textId="77777777" w:rsidR="00122F85" w:rsidRDefault="003D5F70">
            <w:pPr>
              <w:spacing w:line="360" w:lineRule="auto"/>
              <w:jc w:val="both"/>
              <w:rPr>
                <w:sz w:val="20"/>
                <w:szCs w:val="20"/>
                <w:lang w:val="en-GB"/>
              </w:rPr>
            </w:pPr>
            <w:r>
              <w:rPr>
                <w:sz w:val="20"/>
                <w:szCs w:val="20"/>
                <w:lang w:val="en-GB"/>
              </w:rPr>
              <w:t>[C</w:t>
            </w:r>
            <w:r>
              <w:rPr>
                <w:rFonts w:cs="Calibri"/>
                <w:color w:val="000000"/>
                <w:sz w:val="20"/>
                <w:szCs w:val="20"/>
                <w:vertAlign w:val="subscript"/>
                <w:lang w:val="en-GB"/>
              </w:rPr>
              <w:t>6</w:t>
            </w:r>
            <w:r>
              <w:rPr>
                <w:sz w:val="20"/>
                <w:szCs w:val="20"/>
                <w:lang w:val="en-GB"/>
              </w:rPr>
              <w:t>H</w:t>
            </w:r>
            <w:r>
              <w:rPr>
                <w:rFonts w:cs="Calibri"/>
                <w:color w:val="000000"/>
                <w:sz w:val="20"/>
                <w:szCs w:val="20"/>
                <w:vertAlign w:val="subscript"/>
                <w:lang w:val="en-GB"/>
              </w:rPr>
              <w:t>12</w:t>
            </w:r>
            <w:r>
              <w:rPr>
                <w:sz w:val="20"/>
                <w:szCs w:val="20"/>
                <w:lang w:val="en-GB"/>
              </w:rPr>
              <w:t>O</w:t>
            </w:r>
            <w:r>
              <w:rPr>
                <w:rFonts w:cs="Calibri"/>
                <w:color w:val="000000"/>
                <w:sz w:val="20"/>
                <w:szCs w:val="20"/>
                <w:vertAlign w:val="subscript"/>
                <w:lang w:val="en-GB"/>
              </w:rPr>
              <w:t>2</w:t>
            </w:r>
            <w:r>
              <w:rPr>
                <w:sz w:val="20"/>
                <w:szCs w:val="20"/>
                <w:lang w:val="en-GB"/>
              </w:rPr>
              <w:t>]H</w:t>
            </w:r>
            <w:r>
              <w:rPr>
                <w:sz w:val="20"/>
                <w:szCs w:val="20"/>
                <w:vertAlign w:val="superscript"/>
                <w:lang w:val="en-GB"/>
              </w:rPr>
              <w:t>+</w:t>
            </w:r>
          </w:p>
        </w:tc>
        <w:tc>
          <w:tcPr>
            <w:tcW w:w="4189" w:type="dxa"/>
            <w:shd w:val="clear" w:color="auto" w:fill="EEECE1" w:themeFill="background2"/>
          </w:tcPr>
          <w:p w14:paraId="3D3E0A01" w14:textId="77777777" w:rsidR="00122F85" w:rsidRDefault="003D5F70">
            <w:pPr>
              <w:rPr>
                <w:rFonts w:cs="Calibri"/>
                <w:color w:val="000000"/>
                <w:sz w:val="20"/>
                <w:szCs w:val="20"/>
              </w:rPr>
            </w:pPr>
            <w:r>
              <w:rPr>
                <w:rFonts w:cs="Calibri"/>
                <w:color w:val="000000"/>
                <w:sz w:val="20"/>
                <w:szCs w:val="20"/>
              </w:rPr>
              <w:t>hexanoic acid</w:t>
            </w:r>
          </w:p>
        </w:tc>
      </w:tr>
      <w:tr w:rsidR="00122F85" w14:paraId="792B43FC" w14:textId="77777777">
        <w:tc>
          <w:tcPr>
            <w:tcW w:w="1270" w:type="dxa"/>
          </w:tcPr>
          <w:p w14:paraId="33E00DD8" w14:textId="77777777" w:rsidR="00122F85" w:rsidRDefault="003D5F70">
            <w:pPr>
              <w:spacing w:line="360" w:lineRule="auto"/>
              <w:jc w:val="both"/>
              <w:rPr>
                <w:sz w:val="20"/>
                <w:szCs w:val="20"/>
                <w:lang w:val="en-GB"/>
              </w:rPr>
            </w:pPr>
            <w:r>
              <w:rPr>
                <w:sz w:val="20"/>
                <w:szCs w:val="20"/>
                <w:lang w:val="en-GB"/>
              </w:rPr>
              <w:t>131.107</w:t>
            </w:r>
          </w:p>
        </w:tc>
        <w:tc>
          <w:tcPr>
            <w:tcW w:w="1418" w:type="dxa"/>
          </w:tcPr>
          <w:p w14:paraId="357FD762" w14:textId="77777777" w:rsidR="00122F85" w:rsidRDefault="003D5F70">
            <w:pPr>
              <w:spacing w:line="360" w:lineRule="auto"/>
              <w:jc w:val="both"/>
              <w:rPr>
                <w:sz w:val="20"/>
                <w:szCs w:val="20"/>
                <w:lang w:val="en-GB"/>
              </w:rPr>
            </w:pPr>
            <w:r>
              <w:rPr>
                <w:sz w:val="20"/>
                <w:szCs w:val="20"/>
                <w:lang w:val="en-GB"/>
              </w:rPr>
              <w:t>131.107</w:t>
            </w:r>
          </w:p>
        </w:tc>
        <w:tc>
          <w:tcPr>
            <w:tcW w:w="1419" w:type="dxa"/>
          </w:tcPr>
          <w:p w14:paraId="0476A21F" w14:textId="77777777" w:rsidR="00122F85" w:rsidRDefault="003D5F70">
            <w:pPr>
              <w:spacing w:line="360" w:lineRule="auto"/>
              <w:jc w:val="both"/>
              <w:rPr>
                <w:sz w:val="20"/>
                <w:szCs w:val="20"/>
                <w:lang w:val="en-GB"/>
              </w:rPr>
            </w:pPr>
            <w:r>
              <w:rPr>
                <w:sz w:val="20"/>
                <w:szCs w:val="20"/>
                <w:lang w:val="en-GB"/>
              </w:rPr>
              <w:t>[C</w:t>
            </w:r>
            <w:r>
              <w:rPr>
                <w:rFonts w:cs="Calibri"/>
                <w:color w:val="000000"/>
                <w:sz w:val="20"/>
                <w:szCs w:val="20"/>
                <w:vertAlign w:val="subscript"/>
                <w:lang w:val="en-GB"/>
              </w:rPr>
              <w:t>7</w:t>
            </w:r>
            <w:r>
              <w:rPr>
                <w:sz w:val="20"/>
                <w:szCs w:val="20"/>
                <w:lang w:val="en-GB"/>
              </w:rPr>
              <w:t>H</w:t>
            </w:r>
            <w:r>
              <w:rPr>
                <w:rFonts w:cs="Calibri"/>
                <w:color w:val="000000"/>
                <w:sz w:val="20"/>
                <w:szCs w:val="20"/>
                <w:vertAlign w:val="subscript"/>
                <w:lang w:val="en-GB"/>
              </w:rPr>
              <w:t>14</w:t>
            </w:r>
            <w:r>
              <w:rPr>
                <w:sz w:val="20"/>
                <w:szCs w:val="20"/>
                <w:lang w:val="en-GB"/>
              </w:rPr>
              <w:t>O</w:t>
            </w:r>
            <w:r>
              <w:rPr>
                <w:sz w:val="20"/>
                <w:szCs w:val="20"/>
                <w:vertAlign w:val="subscript"/>
                <w:lang w:val="en-GB"/>
              </w:rPr>
              <w:t>2</w:t>
            </w:r>
            <w:r>
              <w:rPr>
                <w:sz w:val="20"/>
                <w:szCs w:val="20"/>
                <w:lang w:val="en-GB"/>
              </w:rPr>
              <w:t>]H</w:t>
            </w:r>
            <w:r>
              <w:rPr>
                <w:sz w:val="20"/>
                <w:szCs w:val="20"/>
                <w:vertAlign w:val="superscript"/>
                <w:lang w:val="en-GB"/>
              </w:rPr>
              <w:t>+</w:t>
            </w:r>
          </w:p>
        </w:tc>
        <w:tc>
          <w:tcPr>
            <w:tcW w:w="4189" w:type="dxa"/>
          </w:tcPr>
          <w:p w14:paraId="563638BB" w14:textId="77777777" w:rsidR="00122F85" w:rsidRDefault="003D5F70">
            <w:pPr>
              <w:rPr>
                <w:rFonts w:cs="Calibri"/>
                <w:color w:val="000000"/>
                <w:sz w:val="20"/>
                <w:szCs w:val="20"/>
              </w:rPr>
            </w:pPr>
            <w:r>
              <w:rPr>
                <w:rFonts w:cs="Calibri"/>
                <w:color w:val="000000"/>
                <w:sz w:val="20"/>
                <w:szCs w:val="20"/>
              </w:rPr>
              <w:t>heptanoic acid</w:t>
            </w:r>
          </w:p>
        </w:tc>
      </w:tr>
      <w:tr w:rsidR="00122F85" w14:paraId="1250E944" w14:textId="77777777">
        <w:tc>
          <w:tcPr>
            <w:tcW w:w="1270" w:type="dxa"/>
          </w:tcPr>
          <w:p w14:paraId="0BDC0386" w14:textId="77777777" w:rsidR="00122F85" w:rsidRDefault="003D5F70">
            <w:pPr>
              <w:spacing w:line="360" w:lineRule="auto"/>
              <w:jc w:val="both"/>
              <w:rPr>
                <w:sz w:val="20"/>
                <w:szCs w:val="20"/>
                <w:lang w:val="en-GB"/>
              </w:rPr>
            </w:pPr>
            <w:r>
              <w:rPr>
                <w:sz w:val="20"/>
                <w:szCs w:val="20"/>
                <w:lang w:val="en-GB"/>
              </w:rPr>
              <w:t>145.120</w:t>
            </w:r>
          </w:p>
        </w:tc>
        <w:tc>
          <w:tcPr>
            <w:tcW w:w="1418" w:type="dxa"/>
          </w:tcPr>
          <w:p w14:paraId="127FF197" w14:textId="77777777" w:rsidR="00122F85" w:rsidRDefault="003D5F70">
            <w:pPr>
              <w:spacing w:line="360" w:lineRule="auto"/>
              <w:jc w:val="both"/>
              <w:rPr>
                <w:sz w:val="20"/>
                <w:szCs w:val="20"/>
                <w:lang w:val="en-GB"/>
              </w:rPr>
            </w:pPr>
            <w:r>
              <w:rPr>
                <w:sz w:val="20"/>
                <w:szCs w:val="20"/>
                <w:lang w:val="en-GB"/>
              </w:rPr>
              <w:t>145.122</w:t>
            </w:r>
          </w:p>
        </w:tc>
        <w:tc>
          <w:tcPr>
            <w:tcW w:w="1419" w:type="dxa"/>
          </w:tcPr>
          <w:p w14:paraId="5163F363" w14:textId="77777777" w:rsidR="00122F85" w:rsidRDefault="003D5F70">
            <w:pPr>
              <w:spacing w:line="360" w:lineRule="auto"/>
              <w:jc w:val="both"/>
              <w:rPr>
                <w:sz w:val="20"/>
                <w:szCs w:val="20"/>
                <w:lang w:val="en-GB"/>
              </w:rPr>
            </w:pPr>
            <w:r>
              <w:rPr>
                <w:sz w:val="20"/>
                <w:szCs w:val="20"/>
                <w:lang w:val="en-GB"/>
              </w:rPr>
              <w:t>[C</w:t>
            </w:r>
            <w:r>
              <w:rPr>
                <w:sz w:val="20"/>
                <w:szCs w:val="20"/>
                <w:vertAlign w:val="subscript"/>
                <w:lang w:val="en-GB"/>
              </w:rPr>
              <w:t>8</w:t>
            </w:r>
            <w:r>
              <w:rPr>
                <w:sz w:val="20"/>
                <w:szCs w:val="20"/>
                <w:lang w:val="en-GB"/>
              </w:rPr>
              <w:t>H</w:t>
            </w:r>
            <w:r>
              <w:rPr>
                <w:sz w:val="20"/>
                <w:szCs w:val="20"/>
                <w:vertAlign w:val="subscript"/>
                <w:lang w:val="en-GB"/>
              </w:rPr>
              <w:t>16</w:t>
            </w:r>
            <w:r>
              <w:rPr>
                <w:sz w:val="20"/>
                <w:szCs w:val="20"/>
                <w:lang w:val="en-GB"/>
              </w:rPr>
              <w:t>O</w:t>
            </w:r>
            <w:r>
              <w:rPr>
                <w:sz w:val="20"/>
                <w:szCs w:val="20"/>
                <w:vertAlign w:val="subscript"/>
                <w:lang w:val="en-GB"/>
              </w:rPr>
              <w:t>2</w:t>
            </w:r>
            <w:r>
              <w:rPr>
                <w:sz w:val="20"/>
                <w:szCs w:val="20"/>
                <w:lang w:val="en-GB"/>
              </w:rPr>
              <w:t>]H</w:t>
            </w:r>
            <w:r>
              <w:rPr>
                <w:sz w:val="20"/>
                <w:szCs w:val="20"/>
                <w:vertAlign w:val="superscript"/>
                <w:lang w:val="en-GB"/>
              </w:rPr>
              <w:t>+</w:t>
            </w:r>
          </w:p>
        </w:tc>
        <w:tc>
          <w:tcPr>
            <w:tcW w:w="4189" w:type="dxa"/>
          </w:tcPr>
          <w:p w14:paraId="027D0C63" w14:textId="77777777" w:rsidR="00122F85" w:rsidRDefault="003D5F70">
            <w:pPr>
              <w:rPr>
                <w:rFonts w:cs="Calibri"/>
                <w:color w:val="000000"/>
                <w:sz w:val="20"/>
                <w:szCs w:val="20"/>
              </w:rPr>
            </w:pPr>
            <w:r>
              <w:rPr>
                <w:rFonts w:cs="Calibri"/>
                <w:color w:val="000000"/>
                <w:sz w:val="20"/>
                <w:szCs w:val="20"/>
              </w:rPr>
              <w:t>octanoic acid</w:t>
            </w:r>
          </w:p>
        </w:tc>
      </w:tr>
      <w:tr w:rsidR="00122F85" w14:paraId="3F70DD2C" w14:textId="77777777">
        <w:tc>
          <w:tcPr>
            <w:tcW w:w="1270" w:type="dxa"/>
          </w:tcPr>
          <w:p w14:paraId="45118B21" w14:textId="77777777" w:rsidR="00122F85" w:rsidRDefault="003D5F70">
            <w:pPr>
              <w:spacing w:line="360" w:lineRule="auto"/>
              <w:jc w:val="both"/>
              <w:rPr>
                <w:sz w:val="20"/>
                <w:szCs w:val="20"/>
                <w:lang w:val="en-GB"/>
              </w:rPr>
            </w:pPr>
            <w:r>
              <w:rPr>
                <w:sz w:val="20"/>
                <w:szCs w:val="20"/>
                <w:lang w:val="en-GB"/>
              </w:rPr>
              <w:t>159.137</w:t>
            </w:r>
          </w:p>
        </w:tc>
        <w:tc>
          <w:tcPr>
            <w:tcW w:w="1418" w:type="dxa"/>
          </w:tcPr>
          <w:p w14:paraId="4D134F06" w14:textId="77777777" w:rsidR="00122F85" w:rsidRDefault="003D5F70">
            <w:pPr>
              <w:spacing w:line="360" w:lineRule="auto"/>
              <w:jc w:val="both"/>
              <w:rPr>
                <w:sz w:val="20"/>
                <w:szCs w:val="20"/>
                <w:lang w:val="en-GB"/>
              </w:rPr>
            </w:pPr>
            <w:r>
              <w:rPr>
                <w:sz w:val="20"/>
                <w:szCs w:val="20"/>
                <w:lang w:val="en-GB"/>
              </w:rPr>
              <w:t>159.138</w:t>
            </w:r>
          </w:p>
        </w:tc>
        <w:tc>
          <w:tcPr>
            <w:tcW w:w="1419" w:type="dxa"/>
          </w:tcPr>
          <w:p w14:paraId="78CB7171" w14:textId="77777777" w:rsidR="00122F85" w:rsidRDefault="003D5F70">
            <w:pPr>
              <w:spacing w:line="360" w:lineRule="auto"/>
              <w:jc w:val="both"/>
              <w:rPr>
                <w:sz w:val="20"/>
                <w:szCs w:val="20"/>
                <w:lang w:val="en-GB"/>
              </w:rPr>
            </w:pPr>
            <w:r>
              <w:rPr>
                <w:sz w:val="20"/>
                <w:szCs w:val="20"/>
                <w:lang w:val="en-GB"/>
              </w:rPr>
              <w:t>[C</w:t>
            </w:r>
            <w:r>
              <w:rPr>
                <w:sz w:val="20"/>
                <w:szCs w:val="20"/>
                <w:vertAlign w:val="subscript"/>
                <w:lang w:val="en-GB"/>
              </w:rPr>
              <w:t>9</w:t>
            </w:r>
            <w:r>
              <w:rPr>
                <w:sz w:val="20"/>
                <w:szCs w:val="20"/>
                <w:lang w:val="en-GB"/>
              </w:rPr>
              <w:t>H</w:t>
            </w:r>
            <w:r>
              <w:rPr>
                <w:sz w:val="20"/>
                <w:szCs w:val="20"/>
                <w:vertAlign w:val="subscript"/>
                <w:lang w:val="en-GB"/>
              </w:rPr>
              <w:t>18</w:t>
            </w:r>
            <w:r>
              <w:rPr>
                <w:sz w:val="20"/>
                <w:szCs w:val="20"/>
                <w:lang w:val="en-GB"/>
              </w:rPr>
              <w:t>O</w:t>
            </w:r>
            <w:r>
              <w:rPr>
                <w:sz w:val="20"/>
                <w:szCs w:val="20"/>
                <w:vertAlign w:val="subscript"/>
                <w:lang w:val="en-GB"/>
              </w:rPr>
              <w:t>2</w:t>
            </w:r>
            <w:r>
              <w:rPr>
                <w:sz w:val="20"/>
                <w:szCs w:val="20"/>
                <w:lang w:val="en-GB"/>
              </w:rPr>
              <w:t>]H</w:t>
            </w:r>
            <w:r>
              <w:rPr>
                <w:sz w:val="20"/>
                <w:szCs w:val="20"/>
                <w:vertAlign w:val="superscript"/>
                <w:lang w:val="en-GB"/>
              </w:rPr>
              <w:t>+</w:t>
            </w:r>
          </w:p>
        </w:tc>
        <w:tc>
          <w:tcPr>
            <w:tcW w:w="4189" w:type="dxa"/>
          </w:tcPr>
          <w:p w14:paraId="2FCBFB35" w14:textId="77777777" w:rsidR="00122F85" w:rsidRDefault="003D5F70">
            <w:pPr>
              <w:rPr>
                <w:rFonts w:cs="Calibri"/>
                <w:color w:val="000000"/>
                <w:sz w:val="20"/>
                <w:szCs w:val="20"/>
              </w:rPr>
            </w:pPr>
            <w:r>
              <w:rPr>
                <w:rFonts w:cs="Calibri"/>
                <w:color w:val="000000"/>
                <w:sz w:val="20"/>
                <w:szCs w:val="20"/>
              </w:rPr>
              <w:t>nonanoic acid</w:t>
            </w:r>
          </w:p>
        </w:tc>
      </w:tr>
      <w:tr w:rsidR="00122F85" w14:paraId="7ABC3B56" w14:textId="77777777">
        <w:tc>
          <w:tcPr>
            <w:tcW w:w="1270" w:type="dxa"/>
            <w:shd w:val="clear" w:color="auto" w:fill="auto"/>
          </w:tcPr>
          <w:p w14:paraId="67E1AE4F" w14:textId="77777777" w:rsidR="00122F85" w:rsidRDefault="003D5F70">
            <w:pPr>
              <w:spacing w:line="360" w:lineRule="auto"/>
              <w:jc w:val="both"/>
              <w:rPr>
                <w:sz w:val="20"/>
                <w:szCs w:val="20"/>
                <w:lang w:val="en-GB"/>
              </w:rPr>
            </w:pPr>
            <w:r>
              <w:rPr>
                <w:sz w:val="20"/>
                <w:szCs w:val="20"/>
              </w:rPr>
              <w:t>47.012</w:t>
            </w:r>
          </w:p>
        </w:tc>
        <w:tc>
          <w:tcPr>
            <w:tcW w:w="1418" w:type="dxa"/>
            <w:shd w:val="clear" w:color="auto" w:fill="auto"/>
          </w:tcPr>
          <w:p w14:paraId="57E8F7EC" w14:textId="77777777" w:rsidR="00122F85" w:rsidRDefault="003D5F70">
            <w:pPr>
              <w:spacing w:line="360" w:lineRule="auto"/>
              <w:jc w:val="both"/>
              <w:rPr>
                <w:sz w:val="20"/>
                <w:szCs w:val="20"/>
                <w:lang w:val="en-GB"/>
              </w:rPr>
            </w:pPr>
            <w:r>
              <w:rPr>
                <w:sz w:val="20"/>
                <w:szCs w:val="20"/>
                <w:lang w:val="en-GB"/>
              </w:rPr>
              <w:t>47.013</w:t>
            </w:r>
          </w:p>
        </w:tc>
        <w:tc>
          <w:tcPr>
            <w:tcW w:w="1419" w:type="dxa"/>
            <w:shd w:val="clear" w:color="auto" w:fill="auto"/>
          </w:tcPr>
          <w:p w14:paraId="1F7BEFCE" w14:textId="77777777" w:rsidR="00122F85" w:rsidRDefault="003D5F70">
            <w:pPr>
              <w:spacing w:line="360" w:lineRule="auto"/>
              <w:jc w:val="both"/>
              <w:rPr>
                <w:sz w:val="20"/>
                <w:szCs w:val="20"/>
                <w:lang w:val="en-GB"/>
              </w:rPr>
            </w:pPr>
            <w:r>
              <w:rPr>
                <w:sz w:val="20"/>
                <w:szCs w:val="20"/>
                <w:lang w:val="en-GB"/>
              </w:rPr>
              <w:t>[CH</w:t>
            </w:r>
            <w:r>
              <w:rPr>
                <w:sz w:val="20"/>
                <w:szCs w:val="20"/>
                <w:vertAlign w:val="subscript"/>
                <w:lang w:val="en-GB"/>
              </w:rPr>
              <w:t>2</w:t>
            </w:r>
            <w:r>
              <w:rPr>
                <w:sz w:val="20"/>
                <w:szCs w:val="20"/>
                <w:lang w:val="en-GB"/>
              </w:rPr>
              <w:t>O</w:t>
            </w:r>
            <w:r>
              <w:rPr>
                <w:sz w:val="20"/>
                <w:szCs w:val="20"/>
                <w:vertAlign w:val="subscript"/>
                <w:lang w:val="en-GB"/>
              </w:rPr>
              <w:t>2</w:t>
            </w:r>
            <w:r>
              <w:rPr>
                <w:sz w:val="20"/>
                <w:szCs w:val="20"/>
                <w:lang w:val="en-GB"/>
              </w:rPr>
              <w:t>]H</w:t>
            </w:r>
            <w:r>
              <w:rPr>
                <w:sz w:val="20"/>
                <w:szCs w:val="20"/>
                <w:vertAlign w:val="superscript"/>
                <w:lang w:val="en-GB"/>
              </w:rPr>
              <w:t>+</w:t>
            </w:r>
          </w:p>
        </w:tc>
        <w:tc>
          <w:tcPr>
            <w:tcW w:w="4189" w:type="dxa"/>
            <w:shd w:val="clear" w:color="auto" w:fill="auto"/>
          </w:tcPr>
          <w:p w14:paraId="70AB67DB" w14:textId="77777777" w:rsidR="00122F85" w:rsidRDefault="003D5F70">
            <w:pPr>
              <w:spacing w:line="360" w:lineRule="auto"/>
              <w:rPr>
                <w:sz w:val="20"/>
                <w:szCs w:val="20"/>
                <w:lang w:val="en-GB"/>
              </w:rPr>
            </w:pPr>
            <w:r>
              <w:rPr>
                <w:sz w:val="20"/>
                <w:szCs w:val="20"/>
                <w:lang w:val="en-GB"/>
              </w:rPr>
              <w:t>formic acid</w:t>
            </w:r>
          </w:p>
        </w:tc>
      </w:tr>
      <w:tr w:rsidR="00122F85" w14:paraId="2D7EC284" w14:textId="77777777">
        <w:tc>
          <w:tcPr>
            <w:tcW w:w="1270" w:type="dxa"/>
            <w:shd w:val="clear" w:color="auto" w:fill="EEECE1" w:themeFill="background2"/>
          </w:tcPr>
          <w:p w14:paraId="223D38F9" w14:textId="77777777" w:rsidR="00122F85" w:rsidRDefault="003D5F70">
            <w:pPr>
              <w:spacing w:line="360" w:lineRule="auto"/>
              <w:jc w:val="both"/>
              <w:rPr>
                <w:sz w:val="20"/>
                <w:szCs w:val="20"/>
                <w:lang w:val="en-GB"/>
              </w:rPr>
            </w:pPr>
            <w:r>
              <w:rPr>
                <w:sz w:val="20"/>
                <w:szCs w:val="20"/>
                <w:lang w:val="en-GB"/>
              </w:rPr>
              <w:t>62.032</w:t>
            </w:r>
          </w:p>
        </w:tc>
        <w:tc>
          <w:tcPr>
            <w:tcW w:w="1418" w:type="dxa"/>
            <w:shd w:val="clear" w:color="auto" w:fill="EEECE1" w:themeFill="background2"/>
          </w:tcPr>
          <w:p w14:paraId="21BF5D22" w14:textId="77777777" w:rsidR="00122F85" w:rsidRDefault="003D5F70">
            <w:pPr>
              <w:spacing w:line="360" w:lineRule="auto"/>
              <w:jc w:val="both"/>
              <w:rPr>
                <w:sz w:val="20"/>
                <w:szCs w:val="20"/>
                <w:lang w:val="en-GB"/>
              </w:rPr>
            </w:pPr>
            <w:r>
              <w:rPr>
                <w:sz w:val="20"/>
                <w:szCs w:val="20"/>
                <w:lang w:val="en-GB"/>
              </w:rPr>
              <w:t>62.032</w:t>
            </w:r>
          </w:p>
        </w:tc>
        <w:tc>
          <w:tcPr>
            <w:tcW w:w="1419" w:type="dxa"/>
            <w:shd w:val="clear" w:color="auto" w:fill="EEECE1" w:themeFill="background2"/>
          </w:tcPr>
          <w:p w14:paraId="4564AF6D" w14:textId="77777777" w:rsidR="00122F85" w:rsidRDefault="003D5F70">
            <w:pPr>
              <w:jc w:val="both"/>
              <w:rPr>
                <w:rFonts w:cs="Calibri"/>
                <w:color w:val="000000"/>
                <w:sz w:val="20"/>
                <w:szCs w:val="20"/>
              </w:rPr>
            </w:pPr>
            <w:r>
              <w:rPr>
                <w:rFonts w:cs="Calibri"/>
                <w:color w:val="000000"/>
                <w:sz w:val="20"/>
                <w:szCs w:val="20"/>
              </w:rPr>
              <w:t>[C</w:t>
            </w:r>
            <w:r>
              <w:rPr>
                <w:rFonts w:cs="Calibri"/>
                <w:color w:val="000000"/>
                <w:sz w:val="20"/>
                <w:szCs w:val="20"/>
                <w:vertAlign w:val="superscript"/>
              </w:rPr>
              <w:t>13</w:t>
            </w:r>
            <w:r>
              <w:rPr>
                <w:rFonts w:cs="Calibri"/>
                <w:color w:val="000000"/>
                <w:sz w:val="20"/>
                <w:szCs w:val="20"/>
              </w:rPr>
              <w:t>CH</w:t>
            </w:r>
            <w:r>
              <w:rPr>
                <w:sz w:val="20"/>
                <w:szCs w:val="20"/>
                <w:vertAlign w:val="subscript"/>
              </w:rPr>
              <w:t>4</w:t>
            </w:r>
            <w:r>
              <w:rPr>
                <w:rFonts w:cs="Calibri"/>
                <w:color w:val="000000"/>
                <w:sz w:val="20"/>
                <w:szCs w:val="20"/>
              </w:rPr>
              <w:t>O</w:t>
            </w:r>
            <w:r>
              <w:rPr>
                <w:sz w:val="20"/>
                <w:szCs w:val="20"/>
                <w:vertAlign w:val="subscript"/>
              </w:rPr>
              <w:t>2</w:t>
            </w:r>
            <w:r>
              <w:rPr>
                <w:rFonts w:cs="Calibri"/>
                <w:color w:val="000000"/>
                <w:sz w:val="20"/>
                <w:szCs w:val="20"/>
              </w:rPr>
              <w:t>]H</w:t>
            </w:r>
            <w:r>
              <w:rPr>
                <w:sz w:val="20"/>
                <w:szCs w:val="20"/>
                <w:vertAlign w:val="superscript"/>
              </w:rPr>
              <w:t>+</w:t>
            </w:r>
          </w:p>
        </w:tc>
        <w:tc>
          <w:tcPr>
            <w:tcW w:w="4189" w:type="dxa"/>
            <w:shd w:val="clear" w:color="auto" w:fill="EEECE1" w:themeFill="background2"/>
          </w:tcPr>
          <w:p w14:paraId="42AACCC7" w14:textId="77777777" w:rsidR="00122F85" w:rsidRDefault="003D5F70">
            <w:pPr>
              <w:spacing w:line="360" w:lineRule="auto"/>
              <w:rPr>
                <w:sz w:val="20"/>
                <w:szCs w:val="20"/>
                <w:lang w:val="en-GB"/>
              </w:rPr>
            </w:pPr>
            <w:r>
              <w:rPr>
                <w:sz w:val="20"/>
                <w:szCs w:val="20"/>
                <w:lang w:val="en-GB"/>
              </w:rPr>
              <w:t>acetic acid</w:t>
            </w:r>
          </w:p>
        </w:tc>
      </w:tr>
      <w:tr w:rsidR="00122F85" w14:paraId="66676E47" w14:textId="77777777">
        <w:tc>
          <w:tcPr>
            <w:tcW w:w="1270" w:type="dxa"/>
            <w:shd w:val="clear" w:color="auto" w:fill="EEECE1" w:themeFill="background2"/>
          </w:tcPr>
          <w:p w14:paraId="72F8FBB8" w14:textId="77777777" w:rsidR="00122F85" w:rsidRDefault="003D5F70">
            <w:pPr>
              <w:spacing w:line="360" w:lineRule="auto"/>
              <w:jc w:val="both"/>
              <w:rPr>
                <w:sz w:val="20"/>
                <w:szCs w:val="20"/>
                <w:lang w:val="en-GB"/>
              </w:rPr>
            </w:pPr>
            <w:r>
              <w:rPr>
                <w:sz w:val="20"/>
                <w:szCs w:val="20"/>
                <w:lang w:val="en-GB"/>
              </w:rPr>
              <w:t>31.018</w:t>
            </w:r>
          </w:p>
        </w:tc>
        <w:tc>
          <w:tcPr>
            <w:tcW w:w="1418" w:type="dxa"/>
            <w:shd w:val="clear" w:color="auto" w:fill="EEECE1" w:themeFill="background2"/>
          </w:tcPr>
          <w:p w14:paraId="54DDC3C5" w14:textId="77777777" w:rsidR="00122F85" w:rsidRDefault="003D5F70">
            <w:pPr>
              <w:jc w:val="both"/>
              <w:rPr>
                <w:rFonts w:cs="Calibri"/>
                <w:color w:val="000000"/>
                <w:sz w:val="20"/>
                <w:szCs w:val="20"/>
              </w:rPr>
            </w:pPr>
            <w:r>
              <w:rPr>
                <w:sz w:val="20"/>
                <w:szCs w:val="20"/>
                <w:lang w:val="en-GB"/>
              </w:rPr>
              <w:t>31.018</w:t>
            </w:r>
          </w:p>
        </w:tc>
        <w:tc>
          <w:tcPr>
            <w:tcW w:w="1419" w:type="dxa"/>
            <w:shd w:val="clear" w:color="auto" w:fill="EEECE1" w:themeFill="background2"/>
          </w:tcPr>
          <w:p w14:paraId="5AAC3535" w14:textId="77777777" w:rsidR="00122F85" w:rsidRDefault="003D5F70">
            <w:pPr>
              <w:spacing w:line="360" w:lineRule="auto"/>
              <w:jc w:val="both"/>
              <w:rPr>
                <w:sz w:val="20"/>
                <w:szCs w:val="20"/>
                <w:lang w:val="en-GB"/>
              </w:rPr>
            </w:pPr>
            <w:r>
              <w:rPr>
                <w:sz w:val="20"/>
                <w:szCs w:val="20"/>
                <w:lang w:val="en-GB"/>
              </w:rPr>
              <w:t>[CH</w:t>
            </w:r>
            <w:r>
              <w:rPr>
                <w:sz w:val="20"/>
                <w:szCs w:val="20"/>
                <w:vertAlign w:val="subscript"/>
                <w:lang w:val="en-GB"/>
              </w:rPr>
              <w:t>2</w:t>
            </w:r>
            <w:r>
              <w:rPr>
                <w:sz w:val="20"/>
                <w:szCs w:val="20"/>
                <w:lang w:val="en-GB"/>
              </w:rPr>
              <w:t>O]H</w:t>
            </w:r>
            <w:r>
              <w:rPr>
                <w:sz w:val="20"/>
                <w:szCs w:val="20"/>
                <w:vertAlign w:val="superscript"/>
                <w:lang w:val="en-GB"/>
              </w:rPr>
              <w:t>+</w:t>
            </w:r>
          </w:p>
        </w:tc>
        <w:tc>
          <w:tcPr>
            <w:tcW w:w="4189" w:type="dxa"/>
            <w:shd w:val="clear" w:color="auto" w:fill="EEECE1" w:themeFill="background2"/>
          </w:tcPr>
          <w:p w14:paraId="1B820786" w14:textId="77777777" w:rsidR="00122F85" w:rsidRDefault="003D5F70">
            <w:pPr>
              <w:rPr>
                <w:rFonts w:cs="Calibri"/>
                <w:color w:val="000000"/>
                <w:sz w:val="20"/>
                <w:szCs w:val="20"/>
              </w:rPr>
            </w:pPr>
            <w:r>
              <w:rPr>
                <w:color w:val="000000" w:themeColor="text1"/>
                <w:sz w:val="20"/>
                <w:szCs w:val="20"/>
                <w:lang w:val="en-GB"/>
              </w:rPr>
              <w:t>formaldehyde</w:t>
            </w:r>
          </w:p>
        </w:tc>
      </w:tr>
      <w:tr w:rsidR="00122F85" w14:paraId="19DFED2C" w14:textId="77777777">
        <w:tc>
          <w:tcPr>
            <w:tcW w:w="1270" w:type="dxa"/>
          </w:tcPr>
          <w:p w14:paraId="28FE8864" w14:textId="77777777" w:rsidR="00122F85" w:rsidRDefault="003D5F70">
            <w:pPr>
              <w:spacing w:line="360" w:lineRule="auto"/>
              <w:jc w:val="both"/>
              <w:rPr>
                <w:sz w:val="20"/>
                <w:szCs w:val="20"/>
                <w:lang w:val="en-GB"/>
              </w:rPr>
            </w:pPr>
            <w:r>
              <w:rPr>
                <w:sz w:val="20"/>
                <w:szCs w:val="20"/>
                <w:lang w:val="en-GB"/>
              </w:rPr>
              <w:t>46.036</w:t>
            </w:r>
          </w:p>
        </w:tc>
        <w:tc>
          <w:tcPr>
            <w:tcW w:w="1418" w:type="dxa"/>
          </w:tcPr>
          <w:p w14:paraId="47C31BB3" w14:textId="77777777" w:rsidR="00122F85" w:rsidRDefault="003D5F70">
            <w:pPr>
              <w:spacing w:line="360" w:lineRule="auto"/>
              <w:jc w:val="both"/>
              <w:rPr>
                <w:sz w:val="20"/>
                <w:szCs w:val="20"/>
                <w:lang w:val="en-GB"/>
              </w:rPr>
            </w:pPr>
            <w:r>
              <w:rPr>
                <w:sz w:val="20"/>
                <w:szCs w:val="20"/>
                <w:lang w:val="en-GB"/>
              </w:rPr>
              <w:t>46.037</w:t>
            </w:r>
          </w:p>
        </w:tc>
        <w:tc>
          <w:tcPr>
            <w:tcW w:w="1419" w:type="dxa"/>
          </w:tcPr>
          <w:p w14:paraId="230A84C9" w14:textId="77777777" w:rsidR="00122F85" w:rsidRDefault="003D5F70">
            <w:pPr>
              <w:jc w:val="both"/>
              <w:rPr>
                <w:rFonts w:cs="Calibri"/>
                <w:color w:val="000000"/>
                <w:sz w:val="20"/>
                <w:szCs w:val="20"/>
              </w:rPr>
            </w:pPr>
            <w:r>
              <w:rPr>
                <w:rFonts w:cs="Calibri"/>
                <w:color w:val="000000"/>
                <w:sz w:val="20"/>
                <w:szCs w:val="20"/>
              </w:rPr>
              <w:t>[C</w:t>
            </w:r>
            <w:r>
              <w:rPr>
                <w:rFonts w:cs="Calibri"/>
                <w:color w:val="000000"/>
                <w:sz w:val="20"/>
                <w:szCs w:val="20"/>
                <w:vertAlign w:val="superscript"/>
              </w:rPr>
              <w:t>13</w:t>
            </w:r>
            <w:r>
              <w:rPr>
                <w:rFonts w:cs="Calibri"/>
                <w:color w:val="000000"/>
                <w:sz w:val="20"/>
                <w:szCs w:val="20"/>
              </w:rPr>
              <w:t>CH</w:t>
            </w:r>
            <w:r>
              <w:rPr>
                <w:sz w:val="20"/>
                <w:szCs w:val="20"/>
                <w:vertAlign w:val="subscript"/>
              </w:rPr>
              <w:t>4</w:t>
            </w:r>
            <w:r>
              <w:rPr>
                <w:rFonts w:cs="Calibri"/>
                <w:color w:val="000000"/>
                <w:sz w:val="20"/>
                <w:szCs w:val="20"/>
              </w:rPr>
              <w:t>O]H</w:t>
            </w:r>
            <w:r>
              <w:rPr>
                <w:sz w:val="20"/>
                <w:szCs w:val="20"/>
                <w:vertAlign w:val="superscript"/>
              </w:rPr>
              <w:t>+</w:t>
            </w:r>
          </w:p>
        </w:tc>
        <w:tc>
          <w:tcPr>
            <w:tcW w:w="4189" w:type="dxa"/>
          </w:tcPr>
          <w:p w14:paraId="6594D5EE" w14:textId="77777777" w:rsidR="00122F85" w:rsidRDefault="003D5F70">
            <w:pPr>
              <w:rPr>
                <w:rFonts w:cs="Calibri"/>
                <w:color w:val="000000"/>
                <w:sz w:val="20"/>
                <w:szCs w:val="20"/>
              </w:rPr>
            </w:pPr>
            <w:r>
              <w:rPr>
                <w:color w:val="000000" w:themeColor="text1"/>
                <w:sz w:val="20"/>
                <w:szCs w:val="20"/>
                <w:lang w:val="en-GB"/>
              </w:rPr>
              <w:t>acetaldehyde</w:t>
            </w:r>
          </w:p>
        </w:tc>
      </w:tr>
      <w:tr w:rsidR="00122F85" w14:paraId="574F3A77" w14:textId="77777777">
        <w:tc>
          <w:tcPr>
            <w:tcW w:w="1270" w:type="dxa"/>
          </w:tcPr>
          <w:p w14:paraId="3E9A5F11" w14:textId="77777777" w:rsidR="00122F85" w:rsidRDefault="003D5F70">
            <w:pPr>
              <w:spacing w:line="360" w:lineRule="auto"/>
              <w:jc w:val="both"/>
              <w:rPr>
                <w:sz w:val="20"/>
                <w:szCs w:val="20"/>
                <w:lang w:val="en-GB"/>
              </w:rPr>
            </w:pPr>
            <w:r>
              <w:rPr>
                <w:sz w:val="20"/>
                <w:szCs w:val="20"/>
                <w:lang w:val="en-GB"/>
              </w:rPr>
              <w:t>34.037</w:t>
            </w:r>
          </w:p>
        </w:tc>
        <w:tc>
          <w:tcPr>
            <w:tcW w:w="1418" w:type="dxa"/>
          </w:tcPr>
          <w:p w14:paraId="433DDDDA" w14:textId="77777777" w:rsidR="00122F85" w:rsidRDefault="003D5F70">
            <w:pPr>
              <w:spacing w:line="360" w:lineRule="auto"/>
              <w:jc w:val="both"/>
              <w:rPr>
                <w:sz w:val="20"/>
                <w:szCs w:val="20"/>
                <w:lang w:val="en-GB"/>
              </w:rPr>
            </w:pPr>
            <w:r>
              <w:rPr>
                <w:sz w:val="20"/>
                <w:szCs w:val="20"/>
                <w:lang w:val="en-GB"/>
              </w:rPr>
              <w:t>34.037</w:t>
            </w:r>
          </w:p>
        </w:tc>
        <w:tc>
          <w:tcPr>
            <w:tcW w:w="1419" w:type="dxa"/>
          </w:tcPr>
          <w:p w14:paraId="3774C365" w14:textId="77777777" w:rsidR="00122F85" w:rsidRDefault="003D5F70">
            <w:pPr>
              <w:spacing w:line="360" w:lineRule="auto"/>
              <w:jc w:val="both"/>
              <w:rPr>
                <w:sz w:val="20"/>
                <w:szCs w:val="20"/>
                <w:lang w:val="en-GB"/>
              </w:rPr>
            </w:pPr>
            <w:r>
              <w:rPr>
                <w:rFonts w:cs="Calibri"/>
                <w:color w:val="000000"/>
                <w:sz w:val="20"/>
                <w:szCs w:val="20"/>
              </w:rPr>
              <w:t>[</w:t>
            </w:r>
            <w:r>
              <w:rPr>
                <w:rFonts w:cs="Calibri"/>
                <w:color w:val="000000"/>
                <w:sz w:val="20"/>
                <w:szCs w:val="20"/>
                <w:vertAlign w:val="superscript"/>
              </w:rPr>
              <w:t>13</w:t>
            </w:r>
            <w:r>
              <w:rPr>
                <w:rFonts w:cs="Calibri"/>
                <w:color w:val="000000"/>
                <w:sz w:val="20"/>
                <w:szCs w:val="20"/>
              </w:rPr>
              <w:t>CH</w:t>
            </w:r>
            <w:r>
              <w:rPr>
                <w:sz w:val="20"/>
                <w:szCs w:val="20"/>
                <w:vertAlign w:val="subscript"/>
              </w:rPr>
              <w:t>4</w:t>
            </w:r>
            <w:r>
              <w:rPr>
                <w:rFonts w:cs="Calibri"/>
                <w:color w:val="000000"/>
                <w:sz w:val="20"/>
                <w:szCs w:val="20"/>
              </w:rPr>
              <w:t>O]H</w:t>
            </w:r>
            <w:r>
              <w:rPr>
                <w:sz w:val="20"/>
                <w:szCs w:val="20"/>
                <w:vertAlign w:val="superscript"/>
              </w:rPr>
              <w:t>+</w:t>
            </w:r>
          </w:p>
        </w:tc>
        <w:tc>
          <w:tcPr>
            <w:tcW w:w="4189" w:type="dxa"/>
          </w:tcPr>
          <w:p w14:paraId="1578D34F" w14:textId="77777777" w:rsidR="00122F85" w:rsidRDefault="003D5F70">
            <w:pPr>
              <w:spacing w:line="360" w:lineRule="auto"/>
              <w:rPr>
                <w:color w:val="000000"/>
                <w:sz w:val="20"/>
                <w:szCs w:val="20"/>
                <w:lang w:val="en-GB"/>
              </w:rPr>
            </w:pPr>
            <w:r>
              <w:rPr>
                <w:color w:val="000000" w:themeColor="text1"/>
                <w:sz w:val="20"/>
                <w:szCs w:val="20"/>
                <w:lang w:val="en-GB"/>
              </w:rPr>
              <w:t>methanol</w:t>
            </w:r>
          </w:p>
        </w:tc>
      </w:tr>
      <w:tr w:rsidR="00122F85" w14:paraId="44E7F010" w14:textId="77777777">
        <w:tc>
          <w:tcPr>
            <w:tcW w:w="1270" w:type="dxa"/>
            <w:shd w:val="clear" w:color="auto" w:fill="EEECE1" w:themeFill="background2"/>
          </w:tcPr>
          <w:p w14:paraId="1582CCFC" w14:textId="77777777" w:rsidR="00122F85" w:rsidRDefault="003D5F70">
            <w:pPr>
              <w:spacing w:line="360" w:lineRule="auto"/>
              <w:jc w:val="both"/>
              <w:rPr>
                <w:sz w:val="20"/>
                <w:szCs w:val="20"/>
                <w:lang w:val="en-GB"/>
              </w:rPr>
            </w:pPr>
            <w:r>
              <w:rPr>
                <w:sz w:val="20"/>
                <w:szCs w:val="20"/>
                <w:lang w:val="en-GB"/>
              </w:rPr>
              <w:t>98.031</w:t>
            </w:r>
          </w:p>
        </w:tc>
        <w:tc>
          <w:tcPr>
            <w:tcW w:w="1418" w:type="dxa"/>
            <w:shd w:val="clear" w:color="auto" w:fill="EEECE1" w:themeFill="background2"/>
          </w:tcPr>
          <w:p w14:paraId="55FEACA6" w14:textId="77777777" w:rsidR="00122F85" w:rsidRDefault="003D5F70">
            <w:pPr>
              <w:spacing w:line="360" w:lineRule="auto"/>
              <w:jc w:val="both"/>
              <w:rPr>
                <w:sz w:val="20"/>
                <w:szCs w:val="20"/>
                <w:lang w:val="en-GB"/>
              </w:rPr>
            </w:pPr>
            <w:r>
              <w:rPr>
                <w:sz w:val="20"/>
                <w:szCs w:val="20"/>
                <w:lang w:val="en-GB"/>
              </w:rPr>
              <w:t>98.032</w:t>
            </w:r>
          </w:p>
        </w:tc>
        <w:tc>
          <w:tcPr>
            <w:tcW w:w="1419" w:type="dxa"/>
            <w:shd w:val="clear" w:color="auto" w:fill="EEECE1" w:themeFill="background2"/>
          </w:tcPr>
          <w:p w14:paraId="263232A0" w14:textId="77777777" w:rsidR="00122F85" w:rsidRDefault="003D5F70">
            <w:pPr>
              <w:jc w:val="both"/>
              <w:rPr>
                <w:rFonts w:cs="Calibri"/>
                <w:color w:val="000000"/>
                <w:sz w:val="20"/>
                <w:szCs w:val="20"/>
              </w:rPr>
            </w:pPr>
            <w:r>
              <w:rPr>
                <w:rFonts w:cs="Calibri"/>
                <w:color w:val="000000"/>
                <w:sz w:val="20"/>
                <w:szCs w:val="20"/>
              </w:rPr>
              <w:t>[C</w:t>
            </w:r>
            <w:r>
              <w:rPr>
                <w:sz w:val="20"/>
                <w:szCs w:val="20"/>
                <w:vertAlign w:val="subscript"/>
              </w:rPr>
              <w:t>4</w:t>
            </w:r>
            <w:r>
              <w:rPr>
                <w:rFonts w:cs="Calibri"/>
                <w:color w:val="000000"/>
                <w:sz w:val="20"/>
                <w:szCs w:val="20"/>
                <w:vertAlign w:val="superscript"/>
              </w:rPr>
              <w:t>13</w:t>
            </w:r>
            <w:r>
              <w:rPr>
                <w:rFonts w:cs="Calibri"/>
                <w:color w:val="000000"/>
                <w:sz w:val="20"/>
                <w:szCs w:val="20"/>
              </w:rPr>
              <w:t>CH</w:t>
            </w:r>
            <w:r>
              <w:rPr>
                <w:sz w:val="20"/>
                <w:szCs w:val="20"/>
                <w:vertAlign w:val="subscript"/>
              </w:rPr>
              <w:t>4</w:t>
            </w:r>
            <w:r>
              <w:rPr>
                <w:rFonts w:cs="Calibri"/>
                <w:color w:val="000000"/>
                <w:sz w:val="20"/>
                <w:szCs w:val="20"/>
              </w:rPr>
              <w:t>O</w:t>
            </w:r>
            <w:r>
              <w:rPr>
                <w:sz w:val="20"/>
                <w:szCs w:val="20"/>
                <w:vertAlign w:val="subscript"/>
              </w:rPr>
              <w:t>2</w:t>
            </w:r>
            <w:r>
              <w:rPr>
                <w:rFonts w:cs="Calibri"/>
                <w:color w:val="000000"/>
                <w:sz w:val="20"/>
                <w:szCs w:val="20"/>
              </w:rPr>
              <w:t>]H</w:t>
            </w:r>
            <w:r>
              <w:rPr>
                <w:sz w:val="20"/>
                <w:szCs w:val="20"/>
                <w:vertAlign w:val="superscript"/>
              </w:rPr>
              <w:t>+</w:t>
            </w:r>
          </w:p>
        </w:tc>
        <w:tc>
          <w:tcPr>
            <w:tcW w:w="4189" w:type="dxa"/>
            <w:shd w:val="clear" w:color="auto" w:fill="EEECE1" w:themeFill="background2"/>
          </w:tcPr>
          <w:p w14:paraId="6ECCE130" w14:textId="77777777" w:rsidR="00122F85" w:rsidRDefault="003D5F70">
            <w:pPr>
              <w:spacing w:line="360" w:lineRule="auto"/>
              <w:rPr>
                <w:color w:val="000000"/>
                <w:sz w:val="20"/>
                <w:szCs w:val="20"/>
                <w:lang w:val="en-GB"/>
              </w:rPr>
            </w:pPr>
            <w:r>
              <w:rPr>
                <w:color w:val="000000" w:themeColor="text1"/>
                <w:sz w:val="20"/>
                <w:szCs w:val="20"/>
                <w:lang w:val="en-GB"/>
              </w:rPr>
              <w:t>furfural</w:t>
            </w:r>
          </w:p>
        </w:tc>
      </w:tr>
      <w:tr w:rsidR="00122F85" w14:paraId="3FA4F8CB" w14:textId="77777777">
        <w:tc>
          <w:tcPr>
            <w:tcW w:w="1270" w:type="dxa"/>
          </w:tcPr>
          <w:p w14:paraId="10F178F2" w14:textId="77777777" w:rsidR="00122F85" w:rsidRDefault="003D5F70">
            <w:pPr>
              <w:spacing w:line="360" w:lineRule="auto"/>
              <w:jc w:val="both"/>
              <w:rPr>
                <w:sz w:val="20"/>
                <w:szCs w:val="20"/>
                <w:lang w:val="en-GB"/>
              </w:rPr>
            </w:pPr>
            <w:r>
              <w:rPr>
                <w:sz w:val="20"/>
                <w:szCs w:val="20"/>
                <w:lang w:val="en-GB"/>
              </w:rPr>
              <w:t>111.043</w:t>
            </w:r>
          </w:p>
        </w:tc>
        <w:tc>
          <w:tcPr>
            <w:tcW w:w="1418" w:type="dxa"/>
          </w:tcPr>
          <w:p w14:paraId="1AB99B4E" w14:textId="77777777" w:rsidR="00122F85" w:rsidRDefault="003D5F70">
            <w:pPr>
              <w:spacing w:line="360" w:lineRule="auto"/>
              <w:jc w:val="both"/>
              <w:rPr>
                <w:sz w:val="20"/>
                <w:szCs w:val="20"/>
                <w:lang w:val="en-GB"/>
              </w:rPr>
            </w:pPr>
            <w:r>
              <w:rPr>
                <w:sz w:val="20"/>
                <w:szCs w:val="20"/>
                <w:lang w:val="en-GB"/>
              </w:rPr>
              <w:t>111.044</w:t>
            </w:r>
          </w:p>
        </w:tc>
        <w:tc>
          <w:tcPr>
            <w:tcW w:w="1419" w:type="dxa"/>
          </w:tcPr>
          <w:p w14:paraId="5D87CC70" w14:textId="77777777" w:rsidR="00122F85" w:rsidRDefault="003D5F70">
            <w:pPr>
              <w:jc w:val="both"/>
              <w:rPr>
                <w:rFonts w:cs="Calibri"/>
                <w:color w:val="000000"/>
                <w:sz w:val="20"/>
                <w:szCs w:val="20"/>
              </w:rPr>
            </w:pPr>
            <w:r>
              <w:rPr>
                <w:rFonts w:cs="Calibri"/>
                <w:color w:val="000000"/>
                <w:sz w:val="20"/>
                <w:szCs w:val="20"/>
              </w:rPr>
              <w:t>[C</w:t>
            </w:r>
            <w:r>
              <w:rPr>
                <w:sz w:val="20"/>
                <w:szCs w:val="20"/>
                <w:vertAlign w:val="subscript"/>
              </w:rPr>
              <w:t>6</w:t>
            </w:r>
            <w:r>
              <w:rPr>
                <w:rFonts w:cs="Calibri"/>
                <w:color w:val="000000"/>
                <w:sz w:val="20"/>
                <w:szCs w:val="20"/>
              </w:rPr>
              <w:t>H</w:t>
            </w:r>
            <w:r>
              <w:rPr>
                <w:rFonts w:cs="Calibri"/>
                <w:color w:val="000000"/>
                <w:sz w:val="20"/>
                <w:szCs w:val="20"/>
                <w:vertAlign w:val="subscript"/>
              </w:rPr>
              <w:t>6</w:t>
            </w:r>
            <w:r>
              <w:rPr>
                <w:rFonts w:cs="Calibri"/>
                <w:color w:val="000000"/>
                <w:sz w:val="20"/>
                <w:szCs w:val="20"/>
              </w:rPr>
              <w:t>O</w:t>
            </w:r>
            <w:r>
              <w:rPr>
                <w:rFonts w:cs="Calibri"/>
                <w:color w:val="000000"/>
                <w:sz w:val="20"/>
                <w:szCs w:val="20"/>
                <w:vertAlign w:val="subscript"/>
              </w:rPr>
              <w:t>2</w:t>
            </w:r>
            <w:r>
              <w:rPr>
                <w:rFonts w:cs="Calibri"/>
                <w:color w:val="000000"/>
                <w:sz w:val="20"/>
                <w:szCs w:val="20"/>
              </w:rPr>
              <w:t>]H</w:t>
            </w:r>
            <w:r>
              <w:rPr>
                <w:sz w:val="20"/>
                <w:szCs w:val="20"/>
                <w:vertAlign w:val="superscript"/>
              </w:rPr>
              <w:t>+</w:t>
            </w:r>
          </w:p>
        </w:tc>
        <w:tc>
          <w:tcPr>
            <w:tcW w:w="4189" w:type="dxa"/>
          </w:tcPr>
          <w:p w14:paraId="3DBABB01" w14:textId="77777777" w:rsidR="00122F85" w:rsidRDefault="003D5F70">
            <w:pPr>
              <w:spacing w:line="360" w:lineRule="auto"/>
              <w:rPr>
                <w:color w:val="000000"/>
                <w:sz w:val="20"/>
                <w:szCs w:val="20"/>
                <w:lang w:val="en-GB"/>
              </w:rPr>
            </w:pPr>
            <w:r>
              <w:rPr>
                <w:color w:val="000000" w:themeColor="text1"/>
                <w:sz w:val="20"/>
                <w:szCs w:val="20"/>
                <w:lang w:val="en-GB"/>
              </w:rPr>
              <w:t>5-methyl-furfural</w:t>
            </w:r>
          </w:p>
        </w:tc>
      </w:tr>
    </w:tbl>
    <w:p w14:paraId="36E95F02" w14:textId="59A9F6C1" w:rsidR="00122F85" w:rsidRDefault="003D5F70">
      <w:pPr>
        <w:jc w:val="both"/>
        <w:rPr>
          <w:lang w:val="en-GB"/>
        </w:rPr>
      </w:pPr>
      <w:r>
        <w:rPr>
          <w:lang w:val="en-GB"/>
        </w:rPr>
        <w:t>T</w:t>
      </w:r>
      <w:r>
        <w:rPr>
          <w:b/>
          <w:bCs/>
          <w:lang w:val="en-GB"/>
        </w:rPr>
        <w:t xml:space="preserve">able </w:t>
      </w:r>
      <w:r w:rsidR="00FE5D73">
        <w:rPr>
          <w:b/>
          <w:bCs/>
          <w:lang w:val="en-GB"/>
        </w:rPr>
        <w:t>4</w:t>
      </w:r>
      <w:r>
        <w:rPr>
          <w:b/>
          <w:bCs/>
          <w:lang w:val="en-GB"/>
        </w:rPr>
        <w:t xml:space="preserve">. </w:t>
      </w:r>
      <w:r>
        <w:rPr>
          <w:lang w:val="en-GB"/>
        </w:rPr>
        <w:t>Mass peaks mentioned in the text, with the corresponding tentative identifications. Highlighted mass peaks are also represented in Figure 3</w:t>
      </w:r>
      <w:r w:rsidR="0063249E">
        <w:rPr>
          <w:lang w:val="en-GB"/>
        </w:rPr>
        <w:t xml:space="preserve"> or Figure 4</w:t>
      </w:r>
      <w:r w:rsidR="006F33FE">
        <w:rPr>
          <w:lang w:val="en-GB"/>
        </w:rPr>
        <w:t>.</w:t>
      </w:r>
    </w:p>
    <w:p w14:paraId="31EEB2B5" w14:textId="77777777" w:rsidR="00122F85" w:rsidRDefault="00122F85">
      <w:pPr>
        <w:spacing w:line="360" w:lineRule="auto"/>
        <w:jc w:val="both"/>
        <w:rPr>
          <w:lang w:val="en-GB"/>
        </w:rPr>
      </w:pPr>
    </w:p>
    <w:p w14:paraId="379C9B43" w14:textId="168354AE" w:rsidR="0052401F" w:rsidRDefault="003D5F70">
      <w:pPr>
        <w:spacing w:line="360" w:lineRule="auto"/>
        <w:jc w:val="both"/>
        <w:rPr>
          <w:lang w:val="en-GB"/>
        </w:rPr>
      </w:pPr>
      <w:r>
        <w:rPr>
          <w:lang w:val="en-GB"/>
        </w:rPr>
        <w:t xml:space="preserve">In Scots pine (PS) and oak (RV), heartwood and sapwood were sampled separately. In either case, there is a striking difference in VOC release between wood types. </w:t>
      </w:r>
      <w:r w:rsidR="00063280">
        <w:rPr>
          <w:lang w:val="en-GB"/>
        </w:rPr>
        <w:t>T</w:t>
      </w:r>
      <w:r>
        <w:rPr>
          <w:lang w:val="en-GB"/>
        </w:rPr>
        <w:t>he heatmap (Figure 2)</w:t>
      </w:r>
      <w:r w:rsidR="00063280">
        <w:rPr>
          <w:lang w:val="en-GB"/>
        </w:rPr>
        <w:t xml:space="preserve"> shows</w:t>
      </w:r>
      <w:r>
        <w:rPr>
          <w:lang w:val="en-GB"/>
        </w:rPr>
        <w:t xml:space="preserve"> that for untreated PS and RV heartwood and sapwood cluster together but in TMW heartwood and sapwood behave differently. </w:t>
      </w:r>
      <w:r w:rsidR="006F33FE">
        <w:rPr>
          <w:lang w:val="en-GB"/>
        </w:rPr>
        <w:t>For h</w:t>
      </w:r>
      <w:r>
        <w:rPr>
          <w:lang w:val="en-GB"/>
        </w:rPr>
        <w:t xml:space="preserve">eartwood PS, treatments A and B (T = 160 and 180 °C) show high release for many VOCs, in particular terpenes, phenols, fatty acids and aldehydes (including formaldehyde). Heartwood RV treatments B and C (T = 180 and 200 °C) form a separate cluster from all other hardwood samples (Figure 2), displaying higher than average VOC release, particularly for acetic acid and furfural (Figure </w:t>
      </w:r>
      <w:r w:rsidR="00A16F31">
        <w:rPr>
          <w:lang w:val="en-GB"/>
        </w:rPr>
        <w:t>4</w:t>
      </w:r>
      <w:r>
        <w:rPr>
          <w:lang w:val="en-GB"/>
        </w:rPr>
        <w:t>).</w:t>
      </w:r>
    </w:p>
    <w:p w14:paraId="2D4AA192" w14:textId="45E9D464" w:rsidR="00122F85" w:rsidRDefault="003D5F70">
      <w:pPr>
        <w:spacing w:line="360" w:lineRule="auto"/>
        <w:jc w:val="both"/>
        <w:rPr>
          <w:lang w:val="en-GB"/>
        </w:rPr>
      </w:pPr>
      <w:r>
        <w:rPr>
          <w:lang w:val="en-GB"/>
        </w:rPr>
        <w:lastRenderedPageBreak/>
        <w:t xml:space="preserve">Previous research </w:t>
      </w:r>
      <w:r>
        <w:rPr>
          <w:lang w:val="en-GB"/>
        </w:rPr>
        <w:fldChar w:fldCharType="begin"/>
      </w:r>
      <w:r w:rsidR="00AD3004">
        <w:rPr>
          <w:lang w:val="en-GB"/>
        </w:rPr>
        <w:instrText xml:space="preserve"> ADDIN ZOTERO_ITEM CSL_CITATION {"citationID":"XxH6Zonh","properties":{"formattedCitation":"[9,43]","plainCitation":"[9,43]","noteIndex":0},"citationItems":[{"id":3563,"uris":["http://zotero.org/users/local/FaDQTzcp/items/HXBGDED9"],"itemData":{"id":3563,"type":"article-journal","abstract":"The qualitative and quantitative composition of volatile organic compounds (VOC) emitted from furnishings from solid wood and all kinds of wood derivative materials depends on many factors, of which the most important is the wood species. The intraspecies and interspecies differences in VOC emission result from the differences in the chemical composition and anatomical structure of heartwood and sapwood of different species. VOC composition analysis was performed separately for heartwood and sapwood of Scots pine (Pinus sylvestris L.), Norway spruce (Picea abies (L.) Karst.) and European larch (Larix decidua Mill.) trees. The studies were conducted in a glass climatic chamber of 0.025 m3, equipped with a system for the monitoring and control of climatic conditions. Samples of air for analyses were collected after 3, 7, 14 and 28 days of exposure. The results provided evidence for interspecies and intraspecies differences in the qualitative and quantitative compositions of VOC. The concentration of total VOC (TVOC) released from heartwood of Scots pine was higher than that released from sapwood. For European larch and Norway spruce, the opposite relations were observed. The VOC emission from Scots pine heartwood was about 17 times higher than the emission from European larch and Norway spruce heartwood. The differences in TVOC emitted from the sapwood of samples from different species were smaller. For each of the species, the highest percentage contribution to TVOC was made by terpenes. The second highest percentage contribution in TVOC was made by compounds containing a carbonyl group, mainly aldehydes, while aromatic compounds made the third highest contribution.","container-title":"Forests","DOI":"10.3390/f11010092","ISSN":"1999-4907","issue":"1","journalAbbreviation":"Forests","language":"en","page":"92","source":"DOI.org (Crossref)","title":"Emission of Volatile Organic Compounds from Heartwood and Sapwood of Selected Coniferous Species","volume":"11","author":[{"family":"Czajka","given":"Magdalena"},{"family":"Fabisiak","given":"Beata"},{"family":"Fabisiak","given":"Ewa"}],"issued":{"date-parts":[["2020",1,11]]}}},{"id":"yKhL7Zc1/eOpazyNX","uris":["http://zotero.org/users/local/2u4mFVJQ/items/YYUQ38EE"],"itemData":{"id":"zzL3PurL/N0qhVXcd","type":"article-journal","container-title":"Journal of Building Engineering","DOI":"10.1016/j.jobe.2019.100918","ISSN":"23527102","journalAbbreviation":"Journal of Building Engineering","language":"en","page":"100918","source":"DOI.org (Crossref)","title":"Color change and emission of volatile organic compounds from Scots pine exposed to heat and vacuum-heat treatment","volume":"26","author":[{"family":"Sivrikaya","given":"Hüseyin"},{"family":"Tesařová","given":"Daniela"},{"family":"Jeřábková","given":"Eva"},{"family":"Can","given":"Ahmet"}],"issued":{"date-parts":[["2019",11]]}}}],"schema":"https://github.com/citation-style-language/schema/raw/master/csl-citation.json"} </w:instrText>
      </w:r>
      <w:r>
        <w:rPr>
          <w:lang w:val="en-GB"/>
        </w:rPr>
        <w:fldChar w:fldCharType="separate"/>
      </w:r>
      <w:r w:rsidR="00AD3004" w:rsidRPr="00AD3004">
        <w:rPr>
          <w:rFonts w:ascii="Cambria" w:hAnsi="Cambria"/>
        </w:rPr>
        <w:t>[9,43]</w:t>
      </w:r>
      <w:r>
        <w:rPr>
          <w:lang w:val="en-GB"/>
        </w:rPr>
        <w:fldChar w:fldCharType="end"/>
      </w:r>
      <w:r>
        <w:rPr>
          <w:lang w:val="en-GB"/>
        </w:rPr>
        <w:t xml:space="preserve"> </w:t>
      </w:r>
      <w:r w:rsidR="006F33FE">
        <w:rPr>
          <w:lang w:val="en-GB"/>
        </w:rPr>
        <w:t xml:space="preserve">has </w:t>
      </w:r>
      <w:r w:rsidR="0052401F">
        <w:rPr>
          <w:lang w:val="en-GB"/>
        </w:rPr>
        <w:t xml:space="preserve">already </w:t>
      </w:r>
      <w:r>
        <w:rPr>
          <w:lang w:val="en-GB"/>
        </w:rPr>
        <w:t>highlight</w:t>
      </w:r>
      <w:r w:rsidR="006F33FE">
        <w:rPr>
          <w:lang w:val="en-GB"/>
        </w:rPr>
        <w:t>ed</w:t>
      </w:r>
      <w:r>
        <w:rPr>
          <w:lang w:val="en-GB"/>
        </w:rPr>
        <w:t xml:space="preserve"> that Scots pine heartwood releases more VOCs than sapwood, probably as a result of a higher extractive content. Less information is instead available on difference in VOC release in deciduous trees according to tissue type and </w:t>
      </w:r>
      <w:r w:rsidR="00E020C3">
        <w:rPr>
          <w:lang w:val="en-GB"/>
        </w:rPr>
        <w:t>the</w:t>
      </w:r>
      <w:r>
        <w:rPr>
          <w:lang w:val="en-GB"/>
        </w:rPr>
        <w:t xml:space="preserve"> findings </w:t>
      </w:r>
      <w:r w:rsidR="00E020C3">
        <w:rPr>
          <w:lang w:val="en-GB"/>
        </w:rPr>
        <w:t>reported in this work</w:t>
      </w:r>
      <w:r>
        <w:rPr>
          <w:lang w:val="en-GB"/>
        </w:rPr>
        <w:t xml:space="preserve"> strongly support the choice of oak TMW sapwood over hardwood as construction material.</w:t>
      </w:r>
    </w:p>
    <w:p w14:paraId="25ACB819" w14:textId="2BCADEA8" w:rsidR="00E23157" w:rsidRDefault="00E23157" w:rsidP="00DC51D7">
      <w:pPr>
        <w:spacing w:line="360" w:lineRule="auto"/>
        <w:jc w:val="both"/>
        <w:rPr>
          <w:lang w:val="en-GB"/>
        </w:rPr>
      </w:pPr>
      <w:r>
        <w:rPr>
          <w:lang w:val="en-GB"/>
        </w:rPr>
        <w:t>Finally, the effect of some technological parameters</w:t>
      </w:r>
      <w:r w:rsidR="00A16F31">
        <w:rPr>
          <w:lang w:val="en-GB"/>
        </w:rPr>
        <w:t xml:space="preserve"> was investigated</w:t>
      </w:r>
      <w:r>
        <w:rPr>
          <w:lang w:val="en-GB"/>
        </w:rPr>
        <w:t xml:space="preserve">. </w:t>
      </w:r>
      <w:r w:rsidR="00823EC5">
        <w:rPr>
          <w:lang w:val="en-GB"/>
        </w:rPr>
        <w:t>T</w:t>
      </w:r>
      <w:r>
        <w:rPr>
          <w:lang w:val="en-GB"/>
        </w:rPr>
        <w:t xml:space="preserve">he </w:t>
      </w:r>
      <w:r w:rsidRPr="00AB4304">
        <w:rPr>
          <w:lang w:val="en-GB"/>
        </w:rPr>
        <w:t>Styl</w:t>
      </w:r>
      <w:r w:rsidRPr="00AB4304">
        <w:rPr>
          <w:vertAlign w:val="superscript"/>
          <w:lang w:val="en-GB"/>
        </w:rPr>
        <w:t>+</w:t>
      </w:r>
      <w:r w:rsidRPr="00AB4304">
        <w:rPr>
          <w:lang w:val="en-GB"/>
        </w:rPr>
        <w:t>wood</w:t>
      </w:r>
      <w:r w:rsidRPr="00AB4304">
        <w:rPr>
          <w:vertAlign w:val="superscript"/>
          <w:lang w:val="en-GB"/>
        </w:rPr>
        <w:t>®</w:t>
      </w:r>
      <w:r>
        <w:rPr>
          <w:lang w:val="en-GB"/>
        </w:rPr>
        <w:t xml:space="preserve"> (SW) process with </w:t>
      </w:r>
      <w:r w:rsidRPr="003363D6">
        <w:rPr>
          <w:i/>
          <w:iCs/>
          <w:lang w:val="en-GB"/>
        </w:rPr>
        <w:t>T</w:t>
      </w:r>
      <w:r w:rsidRPr="003363D6">
        <w:rPr>
          <w:i/>
          <w:iCs/>
          <w:vertAlign w:val="subscript"/>
          <w:lang w:val="en-GB"/>
        </w:rPr>
        <w:t>max</w:t>
      </w:r>
      <w:r>
        <w:rPr>
          <w:lang w:val="en-GB"/>
        </w:rPr>
        <w:t xml:space="preserve"> = 215 °C (treatment D) </w:t>
      </w:r>
      <w:r w:rsidR="00823EC5">
        <w:rPr>
          <w:lang w:val="en-GB"/>
        </w:rPr>
        <w:t xml:space="preserve">was compared </w:t>
      </w:r>
      <w:r>
        <w:rPr>
          <w:lang w:val="en-GB"/>
        </w:rPr>
        <w:t xml:space="preserve">with the </w:t>
      </w:r>
      <w:r w:rsidRPr="00AB4304">
        <w:rPr>
          <w:lang w:val="en-GB"/>
        </w:rPr>
        <w:t>Thermo-vacuum</w:t>
      </w:r>
      <w:r w:rsidRPr="00AB4304">
        <w:rPr>
          <w:vertAlign w:val="superscript"/>
          <w:lang w:val="en-GB"/>
        </w:rPr>
        <w:t>®</w:t>
      </w:r>
      <w:r>
        <w:rPr>
          <w:lang w:val="en-GB"/>
        </w:rPr>
        <w:t xml:space="preserve"> process (TV) using the same temperature ramp. </w:t>
      </w:r>
      <w:r w:rsidR="00823EC5">
        <w:rPr>
          <w:lang w:val="en-GB"/>
        </w:rPr>
        <w:t>P</w:t>
      </w:r>
      <w:r>
        <w:rPr>
          <w:lang w:val="en-GB"/>
        </w:rPr>
        <w:t xml:space="preserve">revious work </w:t>
      </w:r>
      <w:r>
        <w:rPr>
          <w:lang w:val="en-GB"/>
        </w:rPr>
        <w:fldChar w:fldCharType="begin"/>
      </w:r>
      <w:r w:rsidR="00E3720F">
        <w:rPr>
          <w:lang w:val="en-GB"/>
        </w:rPr>
        <w:instrText xml:space="preserve"> ADDIN ZOTERO_ITEM CSL_CITATION {"citationID":"Guc7kAfG","properties":{"formattedCitation":"[22]","plainCitation":"[22]","noteIndex":0},"citationItems":[{"id":893,"uris":["http://zotero.org/users/local/FaDQTzcp/items/KS8KVM37"],"itemData":{"id":893,"type":"article-journal","container-title":"BioResources","issue":"3","page":"3656-3669","title":"Thermo-vacuum modification of spruce (Picea abies karst.) and fir (Abies alba mill.) wood","volume":"7","author":[{"family":"Allegretti","given":"Ottaviano"},{"family":"Brunetti","given":"Michele"},{"family":"Cuccui","given":"Ignazia"},{"family":"Ferrari","given":"Silvia"},{"family":"Nocetti","given":"Michela"},{"family":"Terziev","given":"Nasko"}],"issued":{"date-parts":[["2012"]]}}}],"schema":"https://github.com/citation-style-language/schema/raw/master/csl-citation.json"} </w:instrText>
      </w:r>
      <w:r>
        <w:rPr>
          <w:lang w:val="en-GB"/>
        </w:rPr>
        <w:fldChar w:fldCharType="separate"/>
      </w:r>
      <w:r w:rsidR="00E3720F" w:rsidRPr="00E3720F">
        <w:rPr>
          <w:rFonts w:ascii="Cambria" w:hAnsi="Cambria"/>
        </w:rPr>
        <w:t>[22]</w:t>
      </w:r>
      <w:r>
        <w:rPr>
          <w:lang w:val="en-GB"/>
        </w:rPr>
        <w:fldChar w:fldCharType="end"/>
      </w:r>
      <w:r w:rsidR="00823EC5">
        <w:rPr>
          <w:lang w:val="en-GB"/>
        </w:rPr>
        <w:t xml:space="preserve"> shows</w:t>
      </w:r>
      <w:r>
        <w:rPr>
          <w:lang w:val="en-GB"/>
        </w:rPr>
        <w:t xml:space="preserve"> that TV affords materials with improved properties in terms of dimensional stability and durability. PTR-ToF-MS analysis reveals several significant differences in VOC release between TV and SW, but results are often species-dependent. For example, TV, which is an open system, is more effective in reducing the generation of acetic acid in all tree species except TP and formaldehyde in AR and RV, whereas for furfural TV is more effective than SW in AR, less effective in TP (Figure </w:t>
      </w:r>
      <w:r w:rsidR="00A16F31">
        <w:rPr>
          <w:lang w:val="en-GB"/>
        </w:rPr>
        <w:t>4</w:t>
      </w:r>
      <w:r>
        <w:rPr>
          <w:lang w:val="en-GB"/>
        </w:rPr>
        <w:t xml:space="preserve">). </w:t>
      </w:r>
      <w:r w:rsidR="00DD11DF">
        <w:rPr>
          <w:lang w:val="en-GB"/>
        </w:rPr>
        <w:t>A com</w:t>
      </w:r>
      <w:r>
        <w:rPr>
          <w:lang w:val="en-GB"/>
        </w:rPr>
        <w:t xml:space="preserve">parison of SW treatment E with treatment D (same </w:t>
      </w:r>
      <w:r w:rsidRPr="003363D6">
        <w:rPr>
          <w:i/>
          <w:iCs/>
          <w:lang w:val="en-GB"/>
        </w:rPr>
        <w:t>T</w:t>
      </w:r>
      <w:r w:rsidRPr="003363D6">
        <w:rPr>
          <w:i/>
          <w:iCs/>
          <w:vertAlign w:val="subscript"/>
          <w:lang w:val="en-GB"/>
        </w:rPr>
        <w:t>max</w:t>
      </w:r>
      <w:r>
        <w:rPr>
          <w:lang w:val="en-GB"/>
        </w:rPr>
        <w:t xml:space="preserve"> = 215 °C but faster ramp</w:t>
      </w:r>
      <w:r w:rsidR="00DC51D7">
        <w:rPr>
          <w:lang w:val="en-GB"/>
        </w:rPr>
        <w:t xml:space="preserve">, </w:t>
      </w:r>
      <w:r>
        <w:rPr>
          <w:lang w:val="en-GB"/>
        </w:rPr>
        <w:t xml:space="preserve">Figure 1). was carried out with the purpose to examine the effect on VOC release of fine tuning parameter of the </w:t>
      </w:r>
      <w:r w:rsidRPr="00AB4304">
        <w:rPr>
          <w:lang w:val="en-GB"/>
        </w:rPr>
        <w:t>Styl</w:t>
      </w:r>
      <w:r w:rsidRPr="00AB4304">
        <w:rPr>
          <w:vertAlign w:val="superscript"/>
          <w:lang w:val="en-GB"/>
        </w:rPr>
        <w:t>+</w:t>
      </w:r>
      <w:r w:rsidRPr="00AB4304">
        <w:rPr>
          <w:lang w:val="en-GB"/>
        </w:rPr>
        <w:t>wood</w:t>
      </w:r>
      <w:r w:rsidRPr="00AB4304">
        <w:rPr>
          <w:vertAlign w:val="superscript"/>
          <w:lang w:val="en-GB"/>
        </w:rPr>
        <w:t>®</w:t>
      </w:r>
      <w:r>
        <w:rPr>
          <w:lang w:val="en-GB"/>
        </w:rPr>
        <w:t xml:space="preserve"> process. In this case, the impact of the faster temperature ramp is minimal and in cluster analysis D and E samples from the same tree species always appear closely grouped (Figure 2).</w:t>
      </w:r>
      <w:r w:rsidR="00DC51D7">
        <w:rPr>
          <w:lang w:val="en-GB"/>
        </w:rPr>
        <w:t xml:space="preserve"> </w:t>
      </w:r>
    </w:p>
    <w:p w14:paraId="78002061" w14:textId="02A5F928" w:rsidR="00E23157" w:rsidRDefault="00E23157" w:rsidP="00E23157">
      <w:pPr>
        <w:spacing w:line="360" w:lineRule="auto"/>
        <w:jc w:val="both"/>
        <w:rPr>
          <w:lang w:val="en-GB"/>
        </w:rPr>
      </w:pPr>
      <w:r>
        <w:rPr>
          <w:lang w:val="en-GB"/>
        </w:rPr>
        <w:t xml:space="preserve">In the present work, an extensive PTR-ToF-MS profiling </w:t>
      </w:r>
      <w:r w:rsidR="00A14C5C">
        <w:rPr>
          <w:lang w:val="en-GB"/>
        </w:rPr>
        <w:t xml:space="preserve">was carried out </w:t>
      </w:r>
      <w:r>
        <w:rPr>
          <w:lang w:val="en-GB"/>
        </w:rPr>
        <w:t>on shavings from six different wood species under native conditions and after six different types of thermal treatment. This is the first example of the use of PTR-</w:t>
      </w:r>
    </w:p>
    <w:p w14:paraId="25F1041E" w14:textId="13197C6C" w:rsidR="00357B47" w:rsidRDefault="00E23157" w:rsidP="00E23157">
      <w:pPr>
        <w:spacing w:line="360" w:lineRule="auto"/>
        <w:jc w:val="both"/>
        <w:rPr>
          <w:lang w:val="en-GB"/>
        </w:rPr>
      </w:pPr>
      <w:r>
        <w:rPr>
          <w:lang w:val="en-GB"/>
        </w:rPr>
        <w:t>ToF-MS for the analysis thermally modified wood. The rapidity of analysis allowed to perform comparisons across a relatively large sample set, combining different tree species and treatments.</w:t>
      </w:r>
      <w:r w:rsidR="00A14C5C">
        <w:rPr>
          <w:lang w:val="en-GB"/>
        </w:rPr>
        <w:t xml:space="preserve"> T</w:t>
      </w:r>
      <w:r>
        <w:rPr>
          <w:lang w:val="en-GB"/>
        </w:rPr>
        <w:t>he effect of some variables</w:t>
      </w:r>
      <w:r w:rsidR="00A16549">
        <w:rPr>
          <w:lang w:val="en-GB"/>
        </w:rPr>
        <w:t xml:space="preserve">, </w:t>
      </w:r>
      <w:r>
        <w:rPr>
          <w:lang w:val="en-GB"/>
        </w:rPr>
        <w:t>such as the use of vacuum, changes depending on the tree species it is applied to; therefore, results obtained on a single tree species cannot always be extrapolated to all types of wood</w:t>
      </w:r>
      <w:r w:rsidR="005C2B94">
        <w:rPr>
          <w:lang w:val="en-GB"/>
        </w:rPr>
        <w:t xml:space="preserve">: </w:t>
      </w:r>
      <w:r w:rsidR="00B758D8">
        <w:rPr>
          <w:lang w:val="en-GB"/>
        </w:rPr>
        <w:t xml:space="preserve">this further </w:t>
      </w:r>
      <w:r w:rsidR="00357B47">
        <w:rPr>
          <w:lang w:val="en-GB"/>
        </w:rPr>
        <w:t>substantiates</w:t>
      </w:r>
      <w:r w:rsidR="00B758D8">
        <w:rPr>
          <w:lang w:val="en-GB"/>
        </w:rPr>
        <w:t xml:space="preserve"> the use</w:t>
      </w:r>
      <w:r w:rsidR="00357B47">
        <w:rPr>
          <w:lang w:val="en-GB"/>
        </w:rPr>
        <w:t>fulness</w:t>
      </w:r>
      <w:r w:rsidR="00B758D8">
        <w:rPr>
          <w:lang w:val="en-GB"/>
        </w:rPr>
        <w:t xml:space="preserve"> of high-throughput</w:t>
      </w:r>
      <w:r w:rsidR="00357B47">
        <w:rPr>
          <w:lang w:val="en-GB"/>
        </w:rPr>
        <w:t xml:space="preserve"> analytical techniques, allowing to </w:t>
      </w:r>
      <w:r w:rsidR="000621A7">
        <w:rPr>
          <w:lang w:val="en-GB"/>
        </w:rPr>
        <w:t xml:space="preserve">measure rapidly large sample sets and thus </w:t>
      </w:r>
      <w:r w:rsidR="00E71FC2">
        <w:rPr>
          <w:lang w:val="en-GB"/>
        </w:rPr>
        <w:t xml:space="preserve">evaluate the effect of </w:t>
      </w:r>
      <w:r w:rsidR="000621A7">
        <w:rPr>
          <w:lang w:val="en-GB"/>
        </w:rPr>
        <w:t>combinations of several parameters.</w:t>
      </w:r>
    </w:p>
    <w:p w14:paraId="7137DA83" w14:textId="30B488D8" w:rsidR="00362FCF" w:rsidRDefault="00EE3B8D" w:rsidP="00E23157">
      <w:pPr>
        <w:spacing w:line="360" w:lineRule="auto"/>
        <w:jc w:val="both"/>
        <w:rPr>
          <w:lang w:val="en-GB"/>
        </w:rPr>
      </w:pPr>
      <w:r>
        <w:rPr>
          <w:lang w:val="en-GB"/>
        </w:rPr>
        <w:lastRenderedPageBreak/>
        <w:t>The capability of PTR-ToF-MS to</w:t>
      </w:r>
      <w:r w:rsidR="00703BEF">
        <w:rPr>
          <w:lang w:val="en-GB"/>
        </w:rPr>
        <w:t xml:space="preserve"> </w:t>
      </w:r>
      <w:r>
        <w:rPr>
          <w:lang w:val="en-GB"/>
        </w:rPr>
        <w:t xml:space="preserve">directly </w:t>
      </w:r>
      <w:r w:rsidR="00703BEF">
        <w:rPr>
          <w:lang w:val="en-GB"/>
        </w:rPr>
        <w:t xml:space="preserve">determine </w:t>
      </w:r>
      <w:r>
        <w:rPr>
          <w:lang w:val="en-GB"/>
        </w:rPr>
        <w:t xml:space="preserve">some </w:t>
      </w:r>
      <w:r w:rsidR="00703BEF">
        <w:rPr>
          <w:lang w:val="en-GB"/>
        </w:rPr>
        <w:t xml:space="preserve">very volatile compounds, such as formaldehyde, </w:t>
      </w:r>
      <w:r>
        <w:rPr>
          <w:lang w:val="en-GB"/>
        </w:rPr>
        <w:t>is also noteworthy, as the measurement of such compounds</w:t>
      </w:r>
      <w:r w:rsidR="00703BEF">
        <w:rPr>
          <w:lang w:val="en-GB"/>
        </w:rPr>
        <w:t xml:space="preserve"> normally </w:t>
      </w:r>
      <w:r w:rsidR="00275749">
        <w:rPr>
          <w:lang w:val="en-GB"/>
        </w:rPr>
        <w:t>calls for</w:t>
      </w:r>
      <w:r w:rsidR="00703BEF">
        <w:rPr>
          <w:lang w:val="en-GB"/>
        </w:rPr>
        <w:t xml:space="preserve"> dedicated methods, requiring complex sample preparation. </w:t>
      </w:r>
      <w:r w:rsidR="00275749">
        <w:rPr>
          <w:lang w:val="en-GB"/>
        </w:rPr>
        <w:t>Overall, t</w:t>
      </w:r>
      <w:r w:rsidR="00E23157">
        <w:rPr>
          <w:lang w:val="en-GB"/>
        </w:rPr>
        <w:t>h</w:t>
      </w:r>
      <w:r w:rsidR="00275749">
        <w:rPr>
          <w:lang w:val="en-GB"/>
        </w:rPr>
        <w:t>e results</w:t>
      </w:r>
      <w:r w:rsidR="00E23157">
        <w:rPr>
          <w:lang w:val="en-GB"/>
        </w:rPr>
        <w:t xml:space="preserve"> support the use of PTR-ToF-MS as a high-throughput screening tool for material emission studies, </w:t>
      </w:r>
      <w:r w:rsidR="00901C42">
        <w:rPr>
          <w:lang w:val="en-GB"/>
        </w:rPr>
        <w:t>in a role complementary</w:t>
      </w:r>
      <w:r w:rsidR="00E23157">
        <w:rPr>
          <w:lang w:val="en-GB"/>
        </w:rPr>
        <w:t xml:space="preserve"> to more time-consuming TD-GC-MS. Future developments </w:t>
      </w:r>
      <w:r w:rsidR="00901C42">
        <w:rPr>
          <w:lang w:val="en-GB"/>
        </w:rPr>
        <w:t>in</w:t>
      </w:r>
      <w:r w:rsidR="00E23157">
        <w:rPr>
          <w:lang w:val="en-GB"/>
        </w:rPr>
        <w:t xml:space="preserve"> this line of research might involve exploiting </w:t>
      </w:r>
      <w:r w:rsidR="00FD48D7">
        <w:rPr>
          <w:lang w:val="en-GB"/>
        </w:rPr>
        <w:t>some</w:t>
      </w:r>
      <w:r w:rsidR="00E23157">
        <w:rPr>
          <w:lang w:val="en-GB"/>
        </w:rPr>
        <w:t xml:space="preserve"> </w:t>
      </w:r>
      <w:r w:rsidR="00275749">
        <w:rPr>
          <w:lang w:val="en-GB"/>
        </w:rPr>
        <w:t xml:space="preserve">additional </w:t>
      </w:r>
      <w:r w:rsidR="00E23157">
        <w:rPr>
          <w:lang w:val="en-GB"/>
        </w:rPr>
        <w:t xml:space="preserve">capabilities of PTR-ToF-MS </w:t>
      </w:r>
      <w:r w:rsidR="00306704">
        <w:rPr>
          <w:lang w:val="en-GB"/>
        </w:rPr>
        <w:t>such as</w:t>
      </w:r>
      <w:r w:rsidR="00E23157">
        <w:rPr>
          <w:lang w:val="en-GB"/>
        </w:rPr>
        <w:t xml:space="preserve"> </w:t>
      </w:r>
      <w:r w:rsidR="000247AC">
        <w:rPr>
          <w:lang w:val="en-GB"/>
        </w:rPr>
        <w:t xml:space="preserve">the possibility to </w:t>
      </w:r>
      <w:r w:rsidR="00E23157">
        <w:rPr>
          <w:lang w:val="en-GB"/>
        </w:rPr>
        <w:t>monitor</w:t>
      </w:r>
      <w:r w:rsidR="00306704">
        <w:rPr>
          <w:lang w:val="en-GB"/>
        </w:rPr>
        <w:t xml:space="preserve"> VOC emissions</w:t>
      </w:r>
      <w:r w:rsidR="000247AC">
        <w:rPr>
          <w:lang w:val="en-GB"/>
        </w:rPr>
        <w:t xml:space="preserve"> in real time</w:t>
      </w:r>
      <w:r w:rsidR="00306704">
        <w:rPr>
          <w:lang w:val="en-GB"/>
        </w:rPr>
        <w:t xml:space="preserve"> during </w:t>
      </w:r>
      <w:r w:rsidR="000247AC">
        <w:rPr>
          <w:lang w:val="en-GB"/>
        </w:rPr>
        <w:t xml:space="preserve">the </w:t>
      </w:r>
      <w:r w:rsidR="00306704">
        <w:rPr>
          <w:lang w:val="en-GB"/>
        </w:rPr>
        <w:t>thermal treatment process on the chimney</w:t>
      </w:r>
      <w:r w:rsidR="00EB3FEA">
        <w:rPr>
          <w:lang w:val="en-GB"/>
        </w:rPr>
        <w:t xml:space="preserve"> with the aim</w:t>
      </w:r>
      <w:r w:rsidR="00306704">
        <w:rPr>
          <w:lang w:val="en-GB"/>
        </w:rPr>
        <w:t xml:space="preserve"> </w:t>
      </w:r>
      <w:r w:rsidR="00EB3FEA">
        <w:rPr>
          <w:lang w:val="en-GB"/>
        </w:rPr>
        <w:t>to</w:t>
      </w:r>
      <w:r w:rsidR="00306704">
        <w:rPr>
          <w:lang w:val="en-GB"/>
        </w:rPr>
        <w:t xml:space="preserve"> control pollution or </w:t>
      </w:r>
      <w:r w:rsidR="00EB3FEA">
        <w:rPr>
          <w:lang w:val="en-GB"/>
        </w:rPr>
        <w:t>to</w:t>
      </w:r>
      <w:r w:rsidR="00306704">
        <w:rPr>
          <w:lang w:val="en-GB"/>
        </w:rPr>
        <w:t xml:space="preserve"> optimis</w:t>
      </w:r>
      <w:r w:rsidR="00EB3FEA">
        <w:rPr>
          <w:lang w:val="en-GB"/>
        </w:rPr>
        <w:t>e</w:t>
      </w:r>
      <w:r w:rsidR="00306704">
        <w:rPr>
          <w:lang w:val="en-GB"/>
        </w:rPr>
        <w:t xml:space="preserve"> process parameters</w:t>
      </w:r>
      <w:r w:rsidR="00EB3FEA">
        <w:rPr>
          <w:lang w:val="en-GB"/>
        </w:rPr>
        <w:t>,</w:t>
      </w:r>
      <w:r w:rsidR="00306704">
        <w:rPr>
          <w:lang w:val="en-GB"/>
        </w:rPr>
        <w:t xml:space="preserve"> as well as VOC monitoring from TMW</w:t>
      </w:r>
      <w:r w:rsidR="008973C3">
        <w:rPr>
          <w:lang w:val="en-GB"/>
        </w:rPr>
        <w:t xml:space="preserve"> on a </w:t>
      </w:r>
      <w:r w:rsidR="005F5130">
        <w:rPr>
          <w:lang w:val="en-GB"/>
        </w:rPr>
        <w:t>post-production</w:t>
      </w:r>
      <w:r w:rsidR="00E23157">
        <w:rPr>
          <w:lang w:val="en-GB"/>
        </w:rPr>
        <w:t xml:space="preserve"> </w:t>
      </w:r>
      <w:r w:rsidR="008973C3">
        <w:rPr>
          <w:lang w:val="en-GB"/>
        </w:rPr>
        <w:t xml:space="preserve">line for </w:t>
      </w:r>
      <w:r w:rsidR="00E23157">
        <w:rPr>
          <w:lang w:val="en-GB"/>
        </w:rPr>
        <w:t xml:space="preserve">quality </w:t>
      </w:r>
      <w:r w:rsidR="00281538">
        <w:rPr>
          <w:lang w:val="en-GB"/>
        </w:rPr>
        <w:t>inspection and labelling</w:t>
      </w:r>
      <w:r w:rsidR="008973C3">
        <w:rPr>
          <w:lang w:val="en-GB"/>
        </w:rPr>
        <w:t xml:space="preserve">. </w:t>
      </w:r>
      <w:r w:rsidR="009E39E1">
        <w:rPr>
          <w:lang w:val="en-GB"/>
        </w:rPr>
        <w:t>T</w:t>
      </w:r>
      <w:r w:rsidR="00362FCF" w:rsidRPr="00267EEF">
        <w:rPr>
          <w:lang w:val="en-GB"/>
        </w:rPr>
        <w:t>he aim of the work was to explore the use of P</w:t>
      </w:r>
      <w:r w:rsidR="009E39E1">
        <w:rPr>
          <w:lang w:val="en-GB"/>
        </w:rPr>
        <w:t>TR-ToF-MS</w:t>
      </w:r>
      <w:r w:rsidR="00362FCF" w:rsidRPr="00267EEF">
        <w:rPr>
          <w:lang w:val="en-GB"/>
        </w:rPr>
        <w:t xml:space="preserve"> as an analytical technique to detect and discriminate the relative quantity and quality of VOC compounds that are known to be emitted from natural and thermally modified wood. The results show that the speed and cost-effectiveness of PTR</w:t>
      </w:r>
      <w:r w:rsidR="009E39E1">
        <w:rPr>
          <w:lang w:val="en-GB"/>
        </w:rPr>
        <w:t>-ToF-</w:t>
      </w:r>
      <w:r w:rsidR="00362FCF" w:rsidRPr="00267EEF">
        <w:rPr>
          <w:lang w:val="en-GB"/>
        </w:rPr>
        <w:t xml:space="preserve">MS, together with a more extensive and targeted sampling design and a consequent more robust statistical model, could be used for control of emissions of TMW process and product for various purposes, including environmental and human health protection and </w:t>
      </w:r>
      <w:r w:rsidR="009E39E1">
        <w:rPr>
          <w:lang w:val="en-GB"/>
        </w:rPr>
        <w:t>quality control</w:t>
      </w:r>
      <w:r w:rsidR="00362FCF" w:rsidRPr="00267EEF">
        <w:rPr>
          <w:lang w:val="en-GB"/>
        </w:rPr>
        <w:t>.</w:t>
      </w:r>
    </w:p>
    <w:p w14:paraId="3B1C3B24" w14:textId="77777777" w:rsidR="00122F85" w:rsidRDefault="00122F85">
      <w:pPr>
        <w:jc w:val="both"/>
        <w:rPr>
          <w:lang w:val="en-GB"/>
        </w:rPr>
      </w:pPr>
    </w:p>
    <w:p w14:paraId="45159843" w14:textId="77777777" w:rsidR="00122F85" w:rsidRDefault="003D5F70">
      <w:pPr>
        <w:spacing w:line="360" w:lineRule="auto"/>
        <w:jc w:val="both"/>
        <w:rPr>
          <w:lang w:val="en-GB"/>
        </w:rPr>
      </w:pPr>
      <w:r>
        <w:rPr>
          <w:b/>
          <w:lang w:val="en-GB"/>
        </w:rPr>
        <w:t>Acknowledgments</w:t>
      </w:r>
    </w:p>
    <w:p w14:paraId="687F276A" w14:textId="77777777" w:rsidR="00122F85" w:rsidRDefault="003D5F70">
      <w:pPr>
        <w:spacing w:line="360" w:lineRule="auto"/>
        <w:jc w:val="both"/>
        <w:rPr>
          <w:lang w:val="en-GB"/>
        </w:rPr>
      </w:pPr>
      <w:r>
        <w:rPr>
          <w:lang w:val="en-GB"/>
        </w:rPr>
        <w:t>This project was economically supported by Veneto Region in the framework of POR-CRO call FESR 2014/2020 STYL+WOOD project and by the Autonomous Province of Trento (ADP 2022).</w:t>
      </w:r>
      <w:r>
        <w:rPr>
          <w:lang w:val="en-GB"/>
        </w:rPr>
        <w:br w:type="page"/>
      </w:r>
    </w:p>
    <w:p w14:paraId="71180EFB" w14:textId="77777777" w:rsidR="00122F85" w:rsidRDefault="003D5F70">
      <w:pPr>
        <w:rPr>
          <w:b/>
          <w:lang w:val="en-GB"/>
        </w:rPr>
      </w:pPr>
      <w:r>
        <w:rPr>
          <w:b/>
          <w:lang w:val="en-GB"/>
        </w:rPr>
        <w:lastRenderedPageBreak/>
        <w:t>References</w:t>
      </w:r>
    </w:p>
    <w:p w14:paraId="4303AE97" w14:textId="77777777" w:rsidR="00122F85" w:rsidRDefault="00122F85">
      <w:pPr>
        <w:rPr>
          <w:b/>
          <w:lang w:val="en-GB"/>
        </w:rPr>
      </w:pPr>
    </w:p>
    <w:p w14:paraId="338318D6" w14:textId="77777777" w:rsidR="002A4CBA" w:rsidRPr="002A4CBA" w:rsidRDefault="003D5F70" w:rsidP="002A4CBA">
      <w:pPr>
        <w:pStyle w:val="Bibliography"/>
        <w:rPr>
          <w:rFonts w:ascii="Cambria" w:hAnsi="Cambria"/>
        </w:rPr>
      </w:pPr>
      <w:r>
        <w:rPr>
          <w:lang w:val="en-GB"/>
        </w:rPr>
        <w:fldChar w:fldCharType="begin"/>
      </w:r>
      <w:r w:rsidR="001052AE">
        <w:rPr>
          <w:lang w:val="en-GB"/>
        </w:rPr>
        <w:instrText xml:space="preserve"> ADDIN ZOTERO_BIBL {"uncited":[],"omitted":[],"custom":[]} CSL_BIBLIOGRAPHY </w:instrText>
      </w:r>
      <w:r>
        <w:rPr>
          <w:lang w:val="en-GB"/>
        </w:rPr>
        <w:fldChar w:fldCharType="separate"/>
      </w:r>
      <w:r w:rsidR="002A4CBA" w:rsidRPr="002A4CBA">
        <w:rPr>
          <w:rFonts w:ascii="Cambria" w:hAnsi="Cambria"/>
        </w:rPr>
        <w:t>[1]</w:t>
      </w:r>
      <w:r w:rsidR="002A4CBA" w:rsidRPr="002A4CBA">
        <w:rPr>
          <w:rFonts w:ascii="Cambria" w:hAnsi="Cambria"/>
        </w:rPr>
        <w:tab/>
        <w:t>T. Adamová, J. Hradecký, M. Pánek, Volatile Organic Compounds (VOCs) from Wood and Wood-Based Panels: Methods for Evaluation, Potential Health Risks, and Mitigation, Polymers. 12 (2020) 2289. https://doi.org/10.3390/polym12102289.</w:t>
      </w:r>
    </w:p>
    <w:p w14:paraId="475C8C22" w14:textId="77777777" w:rsidR="002A4CBA" w:rsidRPr="002A4CBA" w:rsidRDefault="002A4CBA" w:rsidP="002A4CBA">
      <w:pPr>
        <w:pStyle w:val="Bibliography"/>
        <w:rPr>
          <w:rFonts w:ascii="Cambria" w:hAnsi="Cambria"/>
        </w:rPr>
      </w:pPr>
      <w:r w:rsidRPr="002A4CBA">
        <w:rPr>
          <w:rFonts w:ascii="Cambria" w:hAnsi="Cambria"/>
        </w:rPr>
        <w:t>[2]</w:t>
      </w:r>
      <w:r w:rsidRPr="002A4CBA">
        <w:rPr>
          <w:rFonts w:ascii="Cambria" w:hAnsi="Cambria"/>
        </w:rPr>
        <w:tab/>
        <w:t>Z. Liu, J.C. Little, Materials responsible for formaldehyde and volatile organic compound (VOC) emissions, in: Toxic. Build. Mater., Elsevier, 2012: pp. 76–121. https://doi.org/10.1533/9780857096357.76.</w:t>
      </w:r>
    </w:p>
    <w:p w14:paraId="4478BC48" w14:textId="77777777" w:rsidR="002A4CBA" w:rsidRPr="002A4CBA" w:rsidRDefault="002A4CBA" w:rsidP="002A4CBA">
      <w:pPr>
        <w:pStyle w:val="Bibliography"/>
        <w:rPr>
          <w:rFonts w:ascii="Cambria" w:hAnsi="Cambria"/>
        </w:rPr>
      </w:pPr>
      <w:r w:rsidRPr="002A4CBA">
        <w:rPr>
          <w:rFonts w:ascii="Cambria" w:hAnsi="Cambria"/>
        </w:rPr>
        <w:t>[3]</w:t>
      </w:r>
      <w:r w:rsidRPr="002A4CBA">
        <w:rPr>
          <w:rFonts w:ascii="Cambria" w:hAnsi="Cambria"/>
        </w:rPr>
        <w:tab/>
        <w:t>F. Bulian, C. Fragassa, VOC emissions from wood products and furniture: A survey about legislation, standards and measures referred to different materials, FME Trans. 44 (2016) 358–364. https://doi.org/10.5937/fmet1604358B.</w:t>
      </w:r>
    </w:p>
    <w:p w14:paraId="66DBFE61" w14:textId="77777777" w:rsidR="002A4CBA" w:rsidRPr="002A4CBA" w:rsidRDefault="002A4CBA" w:rsidP="002A4CBA">
      <w:pPr>
        <w:pStyle w:val="Bibliography"/>
        <w:rPr>
          <w:rFonts w:ascii="Cambria" w:hAnsi="Cambria"/>
        </w:rPr>
      </w:pPr>
      <w:r w:rsidRPr="002A4CBA">
        <w:rPr>
          <w:rFonts w:ascii="Cambria" w:hAnsi="Cambria"/>
        </w:rPr>
        <w:t>[4]</w:t>
      </w:r>
      <w:r w:rsidRPr="002A4CBA">
        <w:rPr>
          <w:rFonts w:ascii="Cambria" w:hAnsi="Cambria"/>
        </w:rPr>
        <w:tab/>
        <w:t>L.K. Jensen, A. Larsen, L. M</w:t>
      </w:r>
      <w:r w:rsidRPr="002A4CBA">
        <w:rPr>
          <w:rFonts w:ascii="Cambria" w:hAnsi="Cambria" w:cs="Cambria Math"/>
        </w:rPr>
        <w:t>⊘</w:t>
      </w:r>
      <w:r w:rsidRPr="002A4CBA">
        <w:rPr>
          <w:rFonts w:ascii="Cambria" w:hAnsi="Cambria"/>
        </w:rPr>
        <w:t>lhave, M.K. Hansen, B. Knudsen, Health Evaluation of Volatile Organic Compound (VOC) Emissions from Wood and Wood-Based Materials, Arch. Environ. Health Int. J. 56 (2001) 419–432. https://doi.org/10.1080/00039890109604477.</w:t>
      </w:r>
    </w:p>
    <w:p w14:paraId="20BAC27B" w14:textId="77777777" w:rsidR="002A4CBA" w:rsidRPr="002A4CBA" w:rsidRDefault="002A4CBA" w:rsidP="002A4CBA">
      <w:pPr>
        <w:pStyle w:val="Bibliography"/>
        <w:rPr>
          <w:rFonts w:ascii="Cambria" w:hAnsi="Cambria"/>
        </w:rPr>
      </w:pPr>
      <w:r w:rsidRPr="002A4CBA">
        <w:rPr>
          <w:rFonts w:ascii="Cambria" w:hAnsi="Cambria"/>
        </w:rPr>
        <w:t>[5]</w:t>
      </w:r>
      <w:r w:rsidRPr="002A4CBA">
        <w:rPr>
          <w:rFonts w:ascii="Cambria" w:hAnsi="Cambria"/>
        </w:rPr>
        <w:tab/>
        <w:t>M. Risholm-Sundman, M. Lundgren, E. Vestin, P. Herder, Emissions of acetic acid and other volatile organic compounds from different species of solid wood, Holz Als Roh- Werkst. 56 (1998) 125–129. https://doi.org/10.1007/s001070050282.</w:t>
      </w:r>
    </w:p>
    <w:p w14:paraId="37C3AA19" w14:textId="77777777" w:rsidR="002A4CBA" w:rsidRPr="002A4CBA" w:rsidRDefault="002A4CBA" w:rsidP="002A4CBA">
      <w:pPr>
        <w:pStyle w:val="Bibliography"/>
        <w:rPr>
          <w:rFonts w:ascii="Cambria" w:hAnsi="Cambria"/>
        </w:rPr>
      </w:pPr>
      <w:r w:rsidRPr="002A4CBA">
        <w:rPr>
          <w:rFonts w:ascii="Cambria" w:hAnsi="Cambria"/>
        </w:rPr>
        <w:t>[6]</w:t>
      </w:r>
      <w:r w:rsidRPr="002A4CBA">
        <w:rPr>
          <w:rFonts w:ascii="Cambria" w:hAnsi="Cambria"/>
        </w:rPr>
        <w:tab/>
        <w:t>J. Pohleven, M. Burnard, A. Kutnar, VOLATILE ORGANIC COMPOUNDS EMITTED FROM UNTREATED AND THERMALLY MODIFIED WOOD - A REVIEW, Wood Fiber Sci. 51 (2019) 231–254. https://doi.org/10.22382/wfs-2019-023.</w:t>
      </w:r>
    </w:p>
    <w:p w14:paraId="68614A82" w14:textId="77777777" w:rsidR="002A4CBA" w:rsidRPr="002A4CBA" w:rsidRDefault="002A4CBA" w:rsidP="002A4CBA">
      <w:pPr>
        <w:pStyle w:val="Bibliography"/>
        <w:rPr>
          <w:rFonts w:ascii="Cambria" w:hAnsi="Cambria"/>
        </w:rPr>
      </w:pPr>
      <w:r w:rsidRPr="002A4CBA">
        <w:rPr>
          <w:rFonts w:ascii="Cambria" w:hAnsi="Cambria"/>
        </w:rPr>
        <w:t>[7]</w:t>
      </w:r>
      <w:r w:rsidRPr="002A4CBA">
        <w:rPr>
          <w:rFonts w:ascii="Cambria" w:hAnsi="Cambria"/>
        </w:rPr>
        <w:tab/>
        <w:t>C.A.S. Hill, Wood modification: chemical, thermal and other processes, John Wiley &amp; Sons, Chichester, England ; Hoboken, NJ, 2006.</w:t>
      </w:r>
    </w:p>
    <w:p w14:paraId="77745DBA" w14:textId="77777777" w:rsidR="002A4CBA" w:rsidRPr="002A4CBA" w:rsidRDefault="002A4CBA" w:rsidP="002A4CBA">
      <w:pPr>
        <w:pStyle w:val="Bibliography"/>
        <w:rPr>
          <w:rFonts w:ascii="Cambria" w:hAnsi="Cambria"/>
        </w:rPr>
      </w:pPr>
      <w:r w:rsidRPr="002A4CBA">
        <w:rPr>
          <w:rFonts w:ascii="Cambria" w:hAnsi="Cambria"/>
        </w:rPr>
        <w:t>[8]</w:t>
      </w:r>
      <w:r w:rsidRPr="002A4CBA">
        <w:rPr>
          <w:rFonts w:ascii="Cambria" w:hAnsi="Cambria"/>
        </w:rPr>
        <w:tab/>
        <w:t>A.-M. Manninen, P. Pasanen, J.K. Holopainen, Comparing the VOC emissions between air-dried and heat-treated Scots pine wood, Atmos. Environ. 36 (2002) 1763–1768. https://doi.org/10.1016/S1352-2310(02)00152-8.</w:t>
      </w:r>
    </w:p>
    <w:p w14:paraId="463C961E" w14:textId="77777777" w:rsidR="002A4CBA" w:rsidRPr="002A4CBA" w:rsidRDefault="002A4CBA" w:rsidP="002A4CBA">
      <w:pPr>
        <w:pStyle w:val="Bibliography"/>
        <w:rPr>
          <w:rFonts w:ascii="Cambria" w:hAnsi="Cambria"/>
        </w:rPr>
      </w:pPr>
      <w:r w:rsidRPr="002A4CBA">
        <w:rPr>
          <w:rFonts w:ascii="Cambria" w:hAnsi="Cambria"/>
        </w:rPr>
        <w:t>[9]</w:t>
      </w:r>
      <w:r w:rsidRPr="002A4CBA">
        <w:rPr>
          <w:rFonts w:ascii="Cambria" w:hAnsi="Cambria"/>
        </w:rPr>
        <w:tab/>
        <w:t>H. Sivrikaya, D. Tesařová, E. Jeřábková, A. Can, Color change and emission of volatile organic compounds from Scots pine exposed to heat and vacuum-heat treatment, J. Build. Eng. 26 (2019) 100918. https://doi.org/10.1016/j.jobe.2019.100918.</w:t>
      </w:r>
    </w:p>
    <w:p w14:paraId="1D57C5F5" w14:textId="77777777" w:rsidR="002A4CBA" w:rsidRPr="002A4CBA" w:rsidRDefault="002A4CBA" w:rsidP="002A4CBA">
      <w:pPr>
        <w:pStyle w:val="Bibliography"/>
        <w:rPr>
          <w:rFonts w:ascii="Cambria" w:hAnsi="Cambria"/>
        </w:rPr>
      </w:pPr>
      <w:r w:rsidRPr="002A4CBA">
        <w:rPr>
          <w:rFonts w:ascii="Cambria" w:hAnsi="Cambria"/>
        </w:rPr>
        <w:t>[10]</w:t>
      </w:r>
      <w:r w:rsidRPr="002A4CBA">
        <w:rPr>
          <w:rFonts w:ascii="Cambria" w:hAnsi="Cambria"/>
        </w:rPr>
        <w:tab/>
        <w:t>C. Wang, Z. Wang, Y. Qin, X. Yin, A. Huang, Released Volatile Organic Compounds in Southern Yellow Pine before and after Heat Treatment, Int. J. Environ. Res. Public. Health. 15 (2018) 2579. https://doi.org/10.3390/ijerph15112579.</w:t>
      </w:r>
    </w:p>
    <w:p w14:paraId="4B51FF4D" w14:textId="77777777" w:rsidR="002A4CBA" w:rsidRPr="002A4CBA" w:rsidRDefault="002A4CBA" w:rsidP="002A4CBA">
      <w:pPr>
        <w:pStyle w:val="Bibliography"/>
        <w:rPr>
          <w:rFonts w:ascii="Cambria" w:hAnsi="Cambria"/>
        </w:rPr>
      </w:pPr>
      <w:r w:rsidRPr="002A4CBA">
        <w:rPr>
          <w:rFonts w:ascii="Cambria" w:hAnsi="Cambria"/>
        </w:rPr>
        <w:t>[11]</w:t>
      </w:r>
      <w:r w:rsidRPr="002A4CBA">
        <w:rPr>
          <w:rFonts w:ascii="Cambria" w:hAnsi="Cambria"/>
        </w:rPr>
        <w:tab/>
        <w:t>P. Čech, Comparison of VOC Emissions from Natural Wood and Heat Treated Wood, Drv. Ind. 69 (2018) 297–309. https://doi.org/10.5552/drind.2018.1708.</w:t>
      </w:r>
    </w:p>
    <w:p w14:paraId="23BC08C3" w14:textId="77777777" w:rsidR="002A4CBA" w:rsidRPr="002A4CBA" w:rsidRDefault="002A4CBA" w:rsidP="002A4CBA">
      <w:pPr>
        <w:pStyle w:val="Bibliography"/>
        <w:rPr>
          <w:rFonts w:ascii="Cambria" w:hAnsi="Cambria"/>
        </w:rPr>
      </w:pPr>
      <w:r w:rsidRPr="002A4CBA">
        <w:rPr>
          <w:rFonts w:ascii="Cambria" w:hAnsi="Cambria"/>
        </w:rPr>
        <w:t>[12]</w:t>
      </w:r>
      <w:r w:rsidRPr="002A4CBA">
        <w:rPr>
          <w:rFonts w:ascii="Cambria" w:hAnsi="Cambria"/>
        </w:rPr>
        <w:tab/>
        <w:t>M. Hyttinen, M. Masalin-Weijo, P. Kalliokoski, P. Pasanen, Comparison of VOC emissions between air-dried and heat-treated Norway spruce (Picea abies), Scots pine (Pinus sylvesteris) and European aspen (Populus tremula) wood, Atmos. Environ. 44 (2010) 5028–5033. https://doi.org/10.1016/j.atmosenv.2010.07.018.</w:t>
      </w:r>
    </w:p>
    <w:p w14:paraId="7FA8E7DE" w14:textId="77777777" w:rsidR="002A4CBA" w:rsidRPr="002A4CBA" w:rsidRDefault="002A4CBA" w:rsidP="002A4CBA">
      <w:pPr>
        <w:pStyle w:val="Bibliography"/>
        <w:rPr>
          <w:rFonts w:ascii="Cambria" w:hAnsi="Cambria"/>
        </w:rPr>
      </w:pPr>
      <w:r w:rsidRPr="002A4CBA">
        <w:rPr>
          <w:rFonts w:ascii="Cambria" w:hAnsi="Cambria"/>
        </w:rPr>
        <w:t>[13]</w:t>
      </w:r>
      <w:r w:rsidRPr="002A4CBA">
        <w:rPr>
          <w:rFonts w:ascii="Cambria" w:hAnsi="Cambria"/>
        </w:rPr>
        <w:tab/>
        <w:t xml:space="preserve">ISO 16000 Part 9 - Determination of the emission of volatile organic compounds from building products and furnishing  —  Emission test </w:t>
      </w:r>
      <w:r w:rsidRPr="002A4CBA">
        <w:rPr>
          <w:rFonts w:ascii="Cambria" w:hAnsi="Cambria"/>
        </w:rPr>
        <w:lastRenderedPageBreak/>
        <w:t>chamber method, International Organization for Standardization (ISO), Geneva, Switzerland, 2006.</w:t>
      </w:r>
    </w:p>
    <w:p w14:paraId="0DD43759" w14:textId="77777777" w:rsidR="002A4CBA" w:rsidRPr="002A4CBA" w:rsidRDefault="002A4CBA" w:rsidP="002A4CBA">
      <w:pPr>
        <w:pStyle w:val="Bibliography"/>
        <w:rPr>
          <w:rFonts w:ascii="Cambria" w:hAnsi="Cambria"/>
        </w:rPr>
      </w:pPr>
      <w:r w:rsidRPr="002A4CBA">
        <w:rPr>
          <w:rFonts w:ascii="Cambria" w:hAnsi="Cambria"/>
        </w:rPr>
        <w:t>[14]</w:t>
      </w:r>
      <w:r w:rsidRPr="002A4CBA">
        <w:rPr>
          <w:rFonts w:ascii="Cambria" w:hAnsi="Cambria"/>
        </w:rPr>
        <w:tab/>
        <w:t>ISO 16000 Part 10 - Determination of the emission of volatile organic compounds from building products and furnishing — Emission test cell method, International Organization for Standardization (ISO), Geneva, Switzerland, 2006.</w:t>
      </w:r>
    </w:p>
    <w:p w14:paraId="215C0303" w14:textId="77777777" w:rsidR="002A4CBA" w:rsidRPr="002A4CBA" w:rsidRDefault="002A4CBA" w:rsidP="002A4CBA">
      <w:pPr>
        <w:pStyle w:val="Bibliography"/>
        <w:rPr>
          <w:rFonts w:ascii="Cambria" w:hAnsi="Cambria"/>
        </w:rPr>
      </w:pPr>
      <w:r w:rsidRPr="002A4CBA">
        <w:rPr>
          <w:rFonts w:ascii="Cambria" w:hAnsi="Cambria"/>
        </w:rPr>
        <w:t>[15]</w:t>
      </w:r>
      <w:r w:rsidRPr="002A4CBA">
        <w:rPr>
          <w:rFonts w:ascii="Cambria" w:hAnsi="Cambria"/>
        </w:rPr>
        <w:tab/>
        <w:t>L. Culleré, B. Fernández de Simón, E. Cadahía, V. Ferreira, P. Hernández-Orte, J. Cacho, Characterization by gas chromatography–olfactometry of the most odor-active compounds in extracts prepared from acacia, chestnut, cherry, ash and oak woods, LWT - Food Sci. Technol. 53 (2013) 240–248. https://doi.org/10.1016/j.lwt.2013.02.010.</w:t>
      </w:r>
    </w:p>
    <w:p w14:paraId="61EC4DF9" w14:textId="77777777" w:rsidR="002A4CBA" w:rsidRPr="002A4CBA" w:rsidRDefault="002A4CBA" w:rsidP="002A4CBA">
      <w:pPr>
        <w:pStyle w:val="Bibliography"/>
        <w:rPr>
          <w:rFonts w:ascii="Cambria" w:hAnsi="Cambria"/>
        </w:rPr>
      </w:pPr>
      <w:r w:rsidRPr="002A4CBA">
        <w:rPr>
          <w:rFonts w:ascii="Cambria" w:hAnsi="Cambria"/>
        </w:rPr>
        <w:t>[16]</w:t>
      </w:r>
      <w:r w:rsidRPr="002A4CBA">
        <w:rPr>
          <w:rFonts w:ascii="Cambria" w:hAnsi="Cambria"/>
        </w:rPr>
        <w:tab/>
        <w:t>L. Xue, Z. Zhao, Y. Zhang, D. Chu, J. Mu, Analysis of gas chromatography-mass spectrometry coupled with dynamic headspace sampling on volatile organic compounds of heat-treated poplar at high temperatures, BioResources. 11 (2016) 3550–3560.</w:t>
      </w:r>
    </w:p>
    <w:p w14:paraId="41783907" w14:textId="77777777" w:rsidR="002A4CBA" w:rsidRPr="002A4CBA" w:rsidRDefault="002A4CBA" w:rsidP="002A4CBA">
      <w:pPr>
        <w:pStyle w:val="Bibliography"/>
        <w:rPr>
          <w:rFonts w:ascii="Cambria" w:hAnsi="Cambria"/>
        </w:rPr>
      </w:pPr>
      <w:r w:rsidRPr="002A4CBA">
        <w:rPr>
          <w:rFonts w:ascii="Cambria" w:hAnsi="Cambria"/>
        </w:rPr>
        <w:t>[17]</w:t>
      </w:r>
      <w:r w:rsidRPr="002A4CBA">
        <w:rPr>
          <w:rFonts w:ascii="Cambria" w:hAnsi="Cambria"/>
        </w:rPr>
        <w:tab/>
        <w:t>M.C. Díaz-Maroto, E. Sánchez-Palomo, M.S. Pérez-Coello, Fast Screening Method for Volatile Compounds of Oak Wood Used for Aging Wines by Headspace SPME-GC-MS (SIM), J. Agric. Food Chem. 52 (2004) 6857–6861. https://doi.org/10.1021/jf049032m.</w:t>
      </w:r>
    </w:p>
    <w:p w14:paraId="3C3086C7" w14:textId="77777777" w:rsidR="002A4CBA" w:rsidRPr="002A4CBA" w:rsidRDefault="002A4CBA" w:rsidP="002A4CBA">
      <w:pPr>
        <w:pStyle w:val="Bibliography"/>
        <w:rPr>
          <w:rFonts w:ascii="Cambria" w:hAnsi="Cambria"/>
        </w:rPr>
      </w:pPr>
      <w:r w:rsidRPr="002A4CBA">
        <w:rPr>
          <w:rFonts w:ascii="Cambria" w:hAnsi="Cambria"/>
        </w:rPr>
        <w:t>[18]</w:t>
      </w:r>
      <w:r w:rsidRPr="002A4CBA">
        <w:rPr>
          <w:rFonts w:ascii="Cambria" w:hAnsi="Cambria"/>
        </w:rPr>
        <w:tab/>
        <w:t>N. Natali, F. Chinnici, C. Riponi, Characterization of Volatiles in Extracts from Oak Chips Obtained by Accelerated Solvent Extraction (ASE), J. Agric. Food Chem. 54 (2006) 8190–8198. https://doi.org/10.1021/jf0614387.</w:t>
      </w:r>
    </w:p>
    <w:p w14:paraId="2CAF53D7" w14:textId="77777777" w:rsidR="002A4CBA" w:rsidRPr="002A4CBA" w:rsidRDefault="002A4CBA" w:rsidP="002A4CBA">
      <w:pPr>
        <w:pStyle w:val="Bibliography"/>
        <w:rPr>
          <w:rFonts w:ascii="Cambria" w:hAnsi="Cambria"/>
        </w:rPr>
      </w:pPr>
      <w:r w:rsidRPr="002A4CBA">
        <w:rPr>
          <w:rFonts w:ascii="Cambria" w:hAnsi="Cambria"/>
        </w:rPr>
        <w:t>[19]</w:t>
      </w:r>
      <w:r w:rsidRPr="002A4CBA">
        <w:rPr>
          <w:rFonts w:ascii="Cambria" w:hAnsi="Cambria"/>
        </w:rPr>
        <w:tab/>
        <w:t>R. Fedele, I.E. Galbally, N. Porter, I.A. Weeks, Biogenic VOC emissions from fresh leaf mulch and wood chips of Grevillea robusta (Australian Silky Oak), Atmos. Environ. 41 (2007) 8736–8746. https://doi.org/10.1016/j.atmosenv.2007.07.037.</w:t>
      </w:r>
    </w:p>
    <w:p w14:paraId="5D3026E3" w14:textId="77777777" w:rsidR="002A4CBA" w:rsidRPr="002A4CBA" w:rsidRDefault="002A4CBA" w:rsidP="002A4CBA">
      <w:pPr>
        <w:pStyle w:val="Bibliography"/>
        <w:rPr>
          <w:rFonts w:ascii="Cambria" w:hAnsi="Cambria"/>
        </w:rPr>
      </w:pPr>
      <w:r w:rsidRPr="002A4CBA">
        <w:rPr>
          <w:rFonts w:ascii="Cambria" w:hAnsi="Cambria"/>
        </w:rPr>
        <w:t>[20]</w:t>
      </w:r>
      <w:r w:rsidRPr="002A4CBA">
        <w:rPr>
          <w:rFonts w:ascii="Cambria" w:hAnsi="Cambria"/>
        </w:rPr>
        <w:tab/>
        <w:t>MDHS 72: Volatile organic compounds in air. Laboratory method using pumped solid sorbent tubes, thermal desorption and gas chromatography, (1992). www.hse.gov.uk/pubns/mdhs/.</w:t>
      </w:r>
    </w:p>
    <w:p w14:paraId="1B50ACC2" w14:textId="77777777" w:rsidR="002A4CBA" w:rsidRPr="002A4CBA" w:rsidRDefault="002A4CBA" w:rsidP="002A4CBA">
      <w:pPr>
        <w:pStyle w:val="Bibliography"/>
        <w:rPr>
          <w:rFonts w:ascii="Cambria" w:hAnsi="Cambria"/>
        </w:rPr>
      </w:pPr>
      <w:r w:rsidRPr="002A4CBA">
        <w:rPr>
          <w:rFonts w:ascii="Cambria" w:hAnsi="Cambria"/>
        </w:rPr>
        <w:t>[21]</w:t>
      </w:r>
      <w:r w:rsidRPr="002A4CBA">
        <w:rPr>
          <w:rFonts w:ascii="Cambria" w:hAnsi="Cambria"/>
        </w:rPr>
        <w:tab/>
        <w:t>C. Taiti, C. Costa, W. Guidi Nissim, S. Bibbiani, E. Azzarello, E. Masi, C. Pandolfi, F. Pallottino, P. Menesatti, S. Mancuso, Assessing VOC emission by different wood cores using the PTR-ToF-MS technology, Wood Sci. Technol. 51 (2017) 273–295. https://doi.org/10.1007/s00226-016-0866-5.</w:t>
      </w:r>
    </w:p>
    <w:p w14:paraId="01003D3C" w14:textId="77777777" w:rsidR="002A4CBA" w:rsidRPr="002A4CBA" w:rsidRDefault="002A4CBA" w:rsidP="002A4CBA">
      <w:pPr>
        <w:pStyle w:val="Bibliography"/>
        <w:rPr>
          <w:rFonts w:ascii="Cambria" w:hAnsi="Cambria"/>
        </w:rPr>
      </w:pPr>
      <w:r w:rsidRPr="002A4CBA">
        <w:rPr>
          <w:rFonts w:ascii="Cambria" w:hAnsi="Cambria"/>
        </w:rPr>
        <w:t>[22]</w:t>
      </w:r>
      <w:r w:rsidRPr="002A4CBA">
        <w:rPr>
          <w:rFonts w:ascii="Cambria" w:hAnsi="Cambria"/>
        </w:rPr>
        <w:tab/>
        <w:t>O. Allegretti, M. Brunetti, I. Cuccui, S. Ferrari, M. Nocetti, N. Terziev, Thermo-vacuum modification of spruce (Picea abies karst.) and fir (Abies alba mill.) wood, BioResources. 7 (2012) 3656–3669.</w:t>
      </w:r>
    </w:p>
    <w:p w14:paraId="0139E777" w14:textId="77777777" w:rsidR="002A4CBA" w:rsidRPr="002A4CBA" w:rsidRDefault="002A4CBA" w:rsidP="002A4CBA">
      <w:pPr>
        <w:pStyle w:val="Bibliography"/>
        <w:rPr>
          <w:rFonts w:ascii="Cambria" w:hAnsi="Cambria"/>
        </w:rPr>
      </w:pPr>
      <w:r w:rsidRPr="002A4CBA">
        <w:rPr>
          <w:rFonts w:ascii="Cambria" w:hAnsi="Cambria"/>
        </w:rPr>
        <w:t>[23]</w:t>
      </w:r>
      <w:r w:rsidRPr="002A4CBA">
        <w:rPr>
          <w:rFonts w:ascii="Cambria" w:hAnsi="Cambria"/>
        </w:rPr>
        <w:tab/>
        <w:t>O. Allegretti, I. Cuccui, N. Terziev, L. Sorini, A model to predict the kinetics of mass loss in wood during thermo-vacuum modification, Holzforschung. 75 (2021) 474–479. https://doi.org/10.1515/hf-2020-0127.</w:t>
      </w:r>
    </w:p>
    <w:p w14:paraId="25716A58" w14:textId="77777777" w:rsidR="002A4CBA" w:rsidRPr="002A4CBA" w:rsidRDefault="002A4CBA" w:rsidP="002A4CBA">
      <w:pPr>
        <w:pStyle w:val="Bibliography"/>
        <w:rPr>
          <w:rFonts w:ascii="Cambria" w:hAnsi="Cambria"/>
        </w:rPr>
      </w:pPr>
      <w:r w:rsidRPr="002A4CBA">
        <w:rPr>
          <w:rFonts w:ascii="Cambria" w:hAnsi="Cambria"/>
        </w:rPr>
        <w:t>[24]</w:t>
      </w:r>
      <w:r w:rsidRPr="002A4CBA">
        <w:rPr>
          <w:rFonts w:ascii="Cambria" w:hAnsi="Cambria"/>
        </w:rPr>
        <w:tab/>
        <w:t>K. Candelier, M.-F. Thevenon, A. Petrissans, S. Dumarcay, P. Gerardin, M. Petrissans, Control of wood thermal treatment and its effects on decay resistance: a review, Ann. For. Sci. 73 (2016) 571–583. https://doi.org/10.1007/s13595-016-0541-x.</w:t>
      </w:r>
    </w:p>
    <w:p w14:paraId="0B097418" w14:textId="77777777" w:rsidR="002A4CBA" w:rsidRPr="002A4CBA" w:rsidRDefault="002A4CBA" w:rsidP="002A4CBA">
      <w:pPr>
        <w:pStyle w:val="Bibliography"/>
        <w:rPr>
          <w:rFonts w:ascii="Cambria" w:hAnsi="Cambria"/>
        </w:rPr>
      </w:pPr>
      <w:r w:rsidRPr="002A4CBA">
        <w:rPr>
          <w:rFonts w:ascii="Cambria" w:hAnsi="Cambria"/>
        </w:rPr>
        <w:t>[25]</w:t>
      </w:r>
      <w:r w:rsidRPr="002A4CBA">
        <w:rPr>
          <w:rFonts w:ascii="Cambria" w:hAnsi="Cambria"/>
        </w:rPr>
        <w:tab/>
        <w:t>L. Cappellin, F. Biasioli, A. Fabris, E. Schuhfried, C. Soukoulis, T.D. Märk, F. Gasperi, Improved mass accuracy in PTR-TOF-MS: Another step towards better compound identification in PTR-MS, Int. J. Mass Spectrom. 290 (2010) 60–63. https://doi.org/10.1016/j.ijms.2009.11.007.</w:t>
      </w:r>
    </w:p>
    <w:p w14:paraId="04B777CE" w14:textId="77777777" w:rsidR="002A4CBA" w:rsidRPr="002A4CBA" w:rsidRDefault="002A4CBA" w:rsidP="002A4CBA">
      <w:pPr>
        <w:pStyle w:val="Bibliography"/>
        <w:rPr>
          <w:rFonts w:ascii="Cambria" w:hAnsi="Cambria"/>
        </w:rPr>
      </w:pPr>
      <w:r w:rsidRPr="002A4CBA">
        <w:rPr>
          <w:rFonts w:ascii="Cambria" w:hAnsi="Cambria"/>
        </w:rPr>
        <w:t>[26]</w:t>
      </w:r>
      <w:r w:rsidRPr="002A4CBA">
        <w:rPr>
          <w:rFonts w:ascii="Cambria" w:hAnsi="Cambria"/>
        </w:rPr>
        <w:tab/>
        <w:t xml:space="preserve">L. Cappellin, F. Biasioli, P.M. Granitto, E. Schuhfried, C. Soukoulis, F. Costa, T.D. Märk, F. Gasperi, On data analysis in PTR-TOF-MS: From raw spectra to </w:t>
      </w:r>
      <w:r w:rsidRPr="002A4CBA">
        <w:rPr>
          <w:rFonts w:ascii="Cambria" w:hAnsi="Cambria"/>
        </w:rPr>
        <w:lastRenderedPageBreak/>
        <w:t>data mining, Sens. Actuators B Chem. 155 (2011) 183–190. https://doi.org/10.1016/j.snb.2010.11.044.</w:t>
      </w:r>
    </w:p>
    <w:p w14:paraId="0D7BC2B6" w14:textId="77777777" w:rsidR="002A4CBA" w:rsidRPr="002A4CBA" w:rsidRDefault="002A4CBA" w:rsidP="002A4CBA">
      <w:pPr>
        <w:pStyle w:val="Bibliography"/>
        <w:rPr>
          <w:rFonts w:ascii="Cambria" w:hAnsi="Cambria"/>
        </w:rPr>
      </w:pPr>
      <w:r w:rsidRPr="002A4CBA">
        <w:rPr>
          <w:rFonts w:ascii="Cambria" w:hAnsi="Cambria"/>
        </w:rPr>
        <w:t>[27]</w:t>
      </w:r>
      <w:r w:rsidRPr="002A4CBA">
        <w:rPr>
          <w:rFonts w:ascii="Cambria" w:hAnsi="Cambria"/>
        </w:rPr>
        <w:tab/>
        <w:t>W. Lindinger, A. Hansel, A. Jordan, On-line monitoring of volatile organic compounds at pptv levels by means of Proton-Transfer-Reaction Mass Spectrometry (PTR-MS) Medical applications, food control and environmental research, Int. J. Mass Spectrom. Ion Process. 173 (1998) 191–241. https://doi.org/10.1016/s0168-1176(97)00281-4.</w:t>
      </w:r>
    </w:p>
    <w:p w14:paraId="5FE98A08" w14:textId="77777777" w:rsidR="002A4CBA" w:rsidRPr="002A4CBA" w:rsidRDefault="002A4CBA" w:rsidP="002A4CBA">
      <w:pPr>
        <w:pStyle w:val="Bibliography"/>
        <w:rPr>
          <w:rFonts w:ascii="Cambria" w:hAnsi="Cambria"/>
        </w:rPr>
      </w:pPr>
      <w:r w:rsidRPr="002A4CBA">
        <w:rPr>
          <w:rFonts w:ascii="Cambria" w:hAnsi="Cambria"/>
        </w:rPr>
        <w:t>[28]</w:t>
      </w:r>
      <w:r w:rsidRPr="002A4CBA">
        <w:rPr>
          <w:rFonts w:ascii="Cambria" w:hAnsi="Cambria"/>
        </w:rPr>
        <w:tab/>
        <w:t>R Core Team, R: A Language and Environment for Statistical Computing, R Foundation for Statistical Computing, Vienna, Austria, 2022. https://www.R-project.org/.</w:t>
      </w:r>
    </w:p>
    <w:p w14:paraId="1D614929" w14:textId="77777777" w:rsidR="002A4CBA" w:rsidRPr="002A4CBA" w:rsidRDefault="002A4CBA" w:rsidP="002A4CBA">
      <w:pPr>
        <w:pStyle w:val="Bibliography"/>
        <w:rPr>
          <w:rFonts w:ascii="Cambria" w:hAnsi="Cambria"/>
        </w:rPr>
      </w:pPr>
      <w:r w:rsidRPr="002A4CBA">
        <w:rPr>
          <w:rFonts w:ascii="Cambria" w:hAnsi="Cambria"/>
        </w:rPr>
        <w:t>[29]</w:t>
      </w:r>
      <w:r w:rsidRPr="002A4CBA">
        <w:rPr>
          <w:rFonts w:ascii="Cambria" w:hAnsi="Cambria"/>
        </w:rPr>
        <w:tab/>
        <w:t>E.L. Back, Pattern of parenchyma and canal resin composition in softwoods and hardwoods, J. Wood Sci. 48 (2002) 167–170. https://doi.org/10.1007/BF00771362.</w:t>
      </w:r>
    </w:p>
    <w:p w14:paraId="3840696F" w14:textId="77777777" w:rsidR="002A4CBA" w:rsidRPr="002A4CBA" w:rsidRDefault="002A4CBA" w:rsidP="002A4CBA">
      <w:pPr>
        <w:pStyle w:val="Bibliography"/>
        <w:rPr>
          <w:rFonts w:ascii="Cambria" w:hAnsi="Cambria"/>
        </w:rPr>
      </w:pPr>
      <w:r w:rsidRPr="002A4CBA">
        <w:rPr>
          <w:rFonts w:ascii="Cambria" w:hAnsi="Cambria"/>
        </w:rPr>
        <w:t>[30]</w:t>
      </w:r>
      <w:r w:rsidRPr="002A4CBA">
        <w:rPr>
          <w:rFonts w:ascii="Cambria" w:hAnsi="Cambria"/>
        </w:rPr>
        <w:tab/>
        <w:t>E. Matsubara, S. Kawai, VOCs emitted from Japanese cedar (Cryptomeria japonica) interior walls induce physiological relaxation, Build. Environ. 72 (2014) 125–130. https://doi.org/10.1016/j.buildenv.2013.10.023.</w:t>
      </w:r>
    </w:p>
    <w:p w14:paraId="1A19A25D" w14:textId="77777777" w:rsidR="002A4CBA" w:rsidRPr="002A4CBA" w:rsidRDefault="002A4CBA" w:rsidP="002A4CBA">
      <w:pPr>
        <w:pStyle w:val="Bibliography"/>
        <w:rPr>
          <w:rFonts w:ascii="Cambria" w:hAnsi="Cambria"/>
        </w:rPr>
      </w:pPr>
      <w:r w:rsidRPr="002A4CBA">
        <w:rPr>
          <w:rFonts w:ascii="Cambria" w:hAnsi="Cambria"/>
        </w:rPr>
        <w:t>[31]</w:t>
      </w:r>
      <w:r w:rsidRPr="002A4CBA">
        <w:rPr>
          <w:rFonts w:ascii="Cambria" w:hAnsi="Cambria"/>
        </w:rPr>
        <w:tab/>
        <w:t>F. Kačík, V. Veľková, P. Šmíra, A. Nasswettrová, D. Kačíková, L. Reinprecht, Release of Terpenes from Fir Wood during Its Long-Term Use and in Thermal Treatment, Molecules. 17 (2012) 9990–9999. https://doi.org/10.3390/molecules17089990.</w:t>
      </w:r>
    </w:p>
    <w:p w14:paraId="647697DC" w14:textId="77777777" w:rsidR="002A4CBA" w:rsidRPr="002A4CBA" w:rsidRDefault="002A4CBA" w:rsidP="002A4CBA">
      <w:pPr>
        <w:pStyle w:val="Bibliography"/>
        <w:rPr>
          <w:rFonts w:ascii="Cambria" w:hAnsi="Cambria"/>
        </w:rPr>
      </w:pPr>
      <w:r w:rsidRPr="002A4CBA">
        <w:rPr>
          <w:rFonts w:ascii="Cambria" w:hAnsi="Cambria"/>
        </w:rPr>
        <w:t>[32]</w:t>
      </w:r>
      <w:r w:rsidRPr="002A4CBA">
        <w:rPr>
          <w:rFonts w:ascii="Cambria" w:hAnsi="Cambria"/>
        </w:rPr>
        <w:tab/>
        <w:t>D. Materić, M. Lanza, P. Sulzer, J. Herbig, D. Bruhn, C. Turner, N. Mason, V. Gauci, Monoterpene separation by coupling proton transfer reaction time-of-flight mass spectrometry with fastGC, Anal. Bioanal. Chem. 407 (2021). https://doi.org/10.1007/s00216-015-8942-5.</w:t>
      </w:r>
    </w:p>
    <w:p w14:paraId="34ACB71A" w14:textId="77777777" w:rsidR="002A4CBA" w:rsidRPr="002A4CBA" w:rsidRDefault="002A4CBA" w:rsidP="002A4CBA">
      <w:pPr>
        <w:pStyle w:val="Bibliography"/>
        <w:rPr>
          <w:rFonts w:ascii="Cambria" w:hAnsi="Cambria"/>
        </w:rPr>
      </w:pPr>
      <w:r w:rsidRPr="002A4CBA">
        <w:rPr>
          <w:rFonts w:ascii="Cambria" w:hAnsi="Cambria"/>
        </w:rPr>
        <w:t>[33]</w:t>
      </w:r>
      <w:r w:rsidRPr="002A4CBA">
        <w:rPr>
          <w:rFonts w:ascii="Cambria" w:hAnsi="Cambria"/>
        </w:rPr>
        <w:tab/>
        <w:t>M. Elaieb, K. Candelier, A. Pétrissans, S. Dumarçay, P. Gérardin, M. Pétrissans, Heat treatment of Tunisian soft wood species: Effect on the durability, chemical modifications and mechanical properties, Maderas Cienc. Tecnol. (2015) 0–0. https://doi.org/10.4067/S0718-221X2015005000061.</w:t>
      </w:r>
    </w:p>
    <w:p w14:paraId="60F934AA" w14:textId="77777777" w:rsidR="002A4CBA" w:rsidRPr="002A4CBA" w:rsidRDefault="002A4CBA" w:rsidP="002A4CBA">
      <w:pPr>
        <w:pStyle w:val="Bibliography"/>
        <w:rPr>
          <w:rFonts w:ascii="Cambria" w:hAnsi="Cambria"/>
        </w:rPr>
      </w:pPr>
      <w:r w:rsidRPr="002A4CBA">
        <w:rPr>
          <w:rFonts w:ascii="Cambria" w:hAnsi="Cambria"/>
        </w:rPr>
        <w:t>[34]</w:t>
      </w:r>
      <w:r w:rsidRPr="002A4CBA">
        <w:rPr>
          <w:rFonts w:ascii="Cambria" w:hAnsi="Cambria"/>
        </w:rPr>
        <w:tab/>
        <w:t>M.Y. Shamy, R.M.E. Gazzar, M.A.E. Sayed, A.M. Attia, Study of Some Biochemical Changes among Workers Occupationally Exposed to Phenol, Alone or in Combination with Other Organic Solvents., Ind. Health. 32 (1994) 207–214. https://doi.org/10.2486/indhealth.32.207.</w:t>
      </w:r>
    </w:p>
    <w:p w14:paraId="53663DE4" w14:textId="77777777" w:rsidR="002A4CBA" w:rsidRPr="002A4CBA" w:rsidRDefault="002A4CBA" w:rsidP="002A4CBA">
      <w:pPr>
        <w:pStyle w:val="Bibliography"/>
        <w:rPr>
          <w:rFonts w:ascii="Cambria" w:hAnsi="Cambria"/>
        </w:rPr>
      </w:pPr>
      <w:r w:rsidRPr="002A4CBA">
        <w:rPr>
          <w:rFonts w:ascii="Cambria" w:hAnsi="Cambria"/>
        </w:rPr>
        <w:t>[35]</w:t>
      </w:r>
      <w:r w:rsidRPr="002A4CBA">
        <w:rPr>
          <w:rFonts w:ascii="Cambria" w:hAnsi="Cambria"/>
        </w:rPr>
        <w:tab/>
        <w:t>L. Schreiner, P. Bauer, A. Buettner, Resolving the smell of wood - identification of odour-active compounds in Scots pine (Pinus sylvestris L.), Sci. Rep. 8 (2018) 8294. https://doi.org/10.1038/s41598-018-26626-8.</w:t>
      </w:r>
    </w:p>
    <w:p w14:paraId="14612F65" w14:textId="77777777" w:rsidR="002A4CBA" w:rsidRPr="002A4CBA" w:rsidRDefault="002A4CBA" w:rsidP="002A4CBA">
      <w:pPr>
        <w:pStyle w:val="Bibliography"/>
        <w:rPr>
          <w:rFonts w:ascii="Cambria" w:hAnsi="Cambria"/>
        </w:rPr>
      </w:pPr>
      <w:r w:rsidRPr="002A4CBA">
        <w:rPr>
          <w:rFonts w:ascii="Cambria" w:hAnsi="Cambria"/>
        </w:rPr>
        <w:t>[36]</w:t>
      </w:r>
      <w:r w:rsidRPr="002A4CBA">
        <w:rPr>
          <w:rFonts w:ascii="Cambria" w:hAnsi="Cambria"/>
        </w:rPr>
        <w:tab/>
        <w:t>M. Gabriel, S. Paczkowski, S. Nicke, S. Schütz, C. Behn, R. Kraft, E. Roffael, Effect of some treatments on emission of volatile organic compounds (VOC) from chips used in pellets making processes, Int. Wood Prod. J. 6 (2015) 60–68. https://doi.org/10.1179/2042645314Y.0000000091.</w:t>
      </w:r>
    </w:p>
    <w:p w14:paraId="6F63E7D1" w14:textId="77777777" w:rsidR="002A4CBA" w:rsidRPr="002A4CBA" w:rsidRDefault="002A4CBA" w:rsidP="002A4CBA">
      <w:pPr>
        <w:pStyle w:val="Bibliography"/>
        <w:rPr>
          <w:rFonts w:ascii="Cambria" w:hAnsi="Cambria"/>
        </w:rPr>
      </w:pPr>
      <w:r w:rsidRPr="002A4CBA">
        <w:rPr>
          <w:rFonts w:ascii="Cambria" w:hAnsi="Cambria"/>
        </w:rPr>
        <w:t>[37]</w:t>
      </w:r>
      <w:r w:rsidRPr="002A4CBA">
        <w:rPr>
          <w:rFonts w:ascii="Cambria" w:hAnsi="Cambria"/>
        </w:rPr>
        <w:tab/>
        <w:t>F. Englund, Emissions of volatile organic compounds (VOC) from wood, Tratek, Swedish Institute for Wood Technology Research, Stockholm, Sweden, 1999.</w:t>
      </w:r>
    </w:p>
    <w:p w14:paraId="66C12A9E" w14:textId="77777777" w:rsidR="002A4CBA" w:rsidRPr="002A4CBA" w:rsidRDefault="002A4CBA" w:rsidP="002A4CBA">
      <w:pPr>
        <w:pStyle w:val="Bibliography"/>
        <w:rPr>
          <w:rFonts w:ascii="Cambria" w:hAnsi="Cambria"/>
        </w:rPr>
      </w:pPr>
      <w:r w:rsidRPr="002A4CBA">
        <w:rPr>
          <w:rFonts w:ascii="Cambria" w:hAnsi="Cambria"/>
        </w:rPr>
        <w:t>[38]</w:t>
      </w:r>
      <w:r w:rsidRPr="002A4CBA">
        <w:rPr>
          <w:rFonts w:ascii="Cambria" w:hAnsi="Cambria"/>
        </w:rPr>
        <w:tab/>
        <w:t>J. Peters, K. Fischer, S. Fischer, Characterization of emissions from thermally modified wood and their reduction by chemical treatment, BioResources. 3 (2008) 491–502.</w:t>
      </w:r>
    </w:p>
    <w:p w14:paraId="1B8CEC9B" w14:textId="77777777" w:rsidR="002A4CBA" w:rsidRPr="002A4CBA" w:rsidRDefault="002A4CBA" w:rsidP="002A4CBA">
      <w:pPr>
        <w:pStyle w:val="Bibliography"/>
        <w:rPr>
          <w:rFonts w:ascii="Cambria" w:hAnsi="Cambria"/>
        </w:rPr>
      </w:pPr>
      <w:r w:rsidRPr="002A4CBA">
        <w:rPr>
          <w:rFonts w:ascii="Cambria" w:hAnsi="Cambria"/>
        </w:rPr>
        <w:t>[39]</w:t>
      </w:r>
      <w:r w:rsidRPr="002A4CBA">
        <w:rPr>
          <w:rFonts w:ascii="Cambria" w:hAnsi="Cambria"/>
        </w:rPr>
        <w:tab/>
        <w:t xml:space="preserve">International Agency for Research on Cancer, ed., Formaldehyde, 2-Butoxyethanol and 1-tert-Butoxypropan-2-ol: this publication represents the views and expert opinions of an IARC Working Group on the Evaluation </w:t>
      </w:r>
      <w:r w:rsidRPr="002A4CBA">
        <w:rPr>
          <w:rFonts w:ascii="Cambria" w:hAnsi="Cambria"/>
        </w:rPr>
        <w:lastRenderedPageBreak/>
        <w:t>of Carcinogenic Risks to Humans, which met in Lyon, 2 - 9 June 2004, IARC, Lyon, 2006.</w:t>
      </w:r>
    </w:p>
    <w:p w14:paraId="085DBDCB" w14:textId="77777777" w:rsidR="002A4CBA" w:rsidRPr="002A4CBA" w:rsidRDefault="002A4CBA" w:rsidP="002A4CBA">
      <w:pPr>
        <w:pStyle w:val="Bibliography"/>
        <w:rPr>
          <w:rFonts w:ascii="Cambria" w:hAnsi="Cambria"/>
        </w:rPr>
      </w:pPr>
      <w:r w:rsidRPr="002A4CBA">
        <w:rPr>
          <w:rFonts w:ascii="Cambria" w:hAnsi="Cambria"/>
        </w:rPr>
        <w:t>[40]</w:t>
      </w:r>
      <w:r w:rsidRPr="002A4CBA">
        <w:rPr>
          <w:rFonts w:ascii="Cambria" w:hAnsi="Cambria"/>
        </w:rPr>
        <w:tab/>
        <w:t>M. Risholm-Sundman, A. Larsen, E. Vestin, A. Weibull, Formaldehyde emission—Comparison of different standard methods, Atmos. Environ. 41 (2007) 3193–3202. https://doi.org/10.1016/j.atmosenv.2006.10.079.</w:t>
      </w:r>
    </w:p>
    <w:p w14:paraId="0F46D32A" w14:textId="77777777" w:rsidR="002A4CBA" w:rsidRPr="002A4CBA" w:rsidRDefault="002A4CBA" w:rsidP="002A4CBA">
      <w:pPr>
        <w:pStyle w:val="Bibliography"/>
        <w:rPr>
          <w:rFonts w:ascii="Cambria" w:hAnsi="Cambria"/>
        </w:rPr>
      </w:pPr>
      <w:r w:rsidRPr="002A4CBA">
        <w:rPr>
          <w:rFonts w:ascii="Cambria" w:hAnsi="Cambria"/>
        </w:rPr>
        <w:t>[41]</w:t>
      </w:r>
      <w:r w:rsidRPr="002A4CBA">
        <w:rPr>
          <w:rFonts w:ascii="Cambria" w:hAnsi="Cambria"/>
        </w:rPr>
        <w:tab/>
        <w:t>J. Beauchamp, J. Herbig, J. Dunkl, W. Singer, A. Hansel, On the performance of proton-transfer-reaction mass spectrometry for breath-relevant gas matrices, Meas. Sci. Technol. 24 (2013). https://doi.org/10.1088/0957-0233/24/12/125003.</w:t>
      </w:r>
    </w:p>
    <w:p w14:paraId="2B1FB180" w14:textId="77777777" w:rsidR="002A4CBA" w:rsidRPr="002A4CBA" w:rsidRDefault="002A4CBA" w:rsidP="002A4CBA">
      <w:pPr>
        <w:pStyle w:val="Bibliography"/>
        <w:rPr>
          <w:rFonts w:ascii="Cambria" w:hAnsi="Cambria"/>
        </w:rPr>
      </w:pPr>
      <w:r w:rsidRPr="002A4CBA">
        <w:rPr>
          <w:rFonts w:ascii="Cambria" w:hAnsi="Cambria"/>
        </w:rPr>
        <w:t>[42]</w:t>
      </w:r>
      <w:r w:rsidRPr="002A4CBA">
        <w:rPr>
          <w:rFonts w:ascii="Cambria" w:hAnsi="Cambria"/>
        </w:rPr>
        <w:tab/>
        <w:t>International Agency for Research on Cancer, International Agency for Research on Cancer, Working Group on the Evaluation of Carcinogenic Risks to Humans, eds., Some chemicals that cause tumours of the urinary tract in rodents: views and expert opinions of an IARC Working Group on the Evaluation of Carcinogenic Risks to Humans, wich met in Lyon, 6-13 June 2017, 2019.</w:t>
      </w:r>
    </w:p>
    <w:p w14:paraId="79E93AA9" w14:textId="77777777" w:rsidR="002A4CBA" w:rsidRPr="002A4CBA" w:rsidRDefault="002A4CBA" w:rsidP="002A4CBA">
      <w:pPr>
        <w:pStyle w:val="Bibliography"/>
        <w:rPr>
          <w:rFonts w:ascii="Cambria" w:hAnsi="Cambria"/>
        </w:rPr>
      </w:pPr>
      <w:r w:rsidRPr="002A4CBA">
        <w:rPr>
          <w:rFonts w:ascii="Cambria" w:hAnsi="Cambria"/>
        </w:rPr>
        <w:t>[43]</w:t>
      </w:r>
      <w:r w:rsidRPr="002A4CBA">
        <w:rPr>
          <w:rFonts w:ascii="Cambria" w:hAnsi="Cambria"/>
        </w:rPr>
        <w:tab/>
        <w:t>M. Czajka, B. Fabisiak, E. Fabisiak, Emission of Volatile Organic Compounds from Heartwood and Sapwood of Selected Coniferous Species, Forests. 11 (2020) 92. https://doi.org/10.3390/f11010092.</w:t>
      </w:r>
    </w:p>
    <w:p w14:paraId="3510ECAA" w14:textId="570315DB" w:rsidR="00122F85" w:rsidRPr="00EB3FEA" w:rsidRDefault="003D5F70">
      <w:pPr>
        <w:rPr>
          <w:lang w:val="en-GB"/>
        </w:rPr>
      </w:pPr>
      <w:r>
        <w:rPr>
          <w:lang w:val="en-GB"/>
        </w:rPr>
        <w:fldChar w:fldCharType="end"/>
      </w:r>
    </w:p>
    <w:sectPr w:rsidR="00122F85" w:rsidRPr="00EB3FEA" w:rsidSect="00EA44E9">
      <w:pgSz w:w="11900" w:h="16840"/>
      <w:pgMar w:top="1440" w:right="1797" w:bottom="1440" w:left="1797"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B00B5E" w14:textId="77777777" w:rsidR="00962770" w:rsidRDefault="00962770">
      <w:r>
        <w:separator/>
      </w:r>
    </w:p>
  </w:endnote>
  <w:endnote w:type="continuationSeparator" w:id="0">
    <w:p w14:paraId="1368C19F" w14:textId="77777777" w:rsidR="00962770" w:rsidRDefault="009627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ucida grande">
    <w:altName w:val="Malgun Gothic"/>
    <w:charset w:val="00"/>
    <w:family w:val="auto"/>
    <w:pitch w:val="variable"/>
    <w:sig w:usb0="E1000AEF" w:usb1="5000A1FF" w:usb2="00000000" w:usb3="00000000" w:csb0="000001B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0570132"/>
      <w:docPartObj>
        <w:docPartGallery w:val="Page Numbers (Bottom of Page)"/>
        <w:docPartUnique/>
      </w:docPartObj>
    </w:sdtPr>
    <w:sdtContent>
      <w:p w14:paraId="0EE24C5E" w14:textId="5CF38620" w:rsidR="008C7912" w:rsidRDefault="008C7912">
        <w:pPr>
          <w:pStyle w:val="Footer"/>
          <w:jc w:val="center"/>
        </w:pPr>
        <w:r>
          <w:fldChar w:fldCharType="begin"/>
        </w:r>
        <w:r>
          <w:instrText xml:space="preserve"> PAGE   \* MERGEFORMAT </w:instrText>
        </w:r>
        <w:r>
          <w:fldChar w:fldCharType="separate"/>
        </w:r>
        <w:r w:rsidR="004003A3">
          <w:rPr>
            <w:noProof/>
          </w:rPr>
          <w:t>19</w:t>
        </w:r>
        <w:r>
          <w:fldChar w:fldCharType="end"/>
        </w:r>
      </w:p>
    </w:sdtContent>
  </w:sdt>
  <w:p w14:paraId="1A9866AD" w14:textId="77777777" w:rsidR="008C7912" w:rsidRDefault="008C79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E11CE7" w14:textId="77777777" w:rsidR="00962770" w:rsidRDefault="00962770">
      <w:r>
        <w:separator/>
      </w:r>
    </w:p>
  </w:footnote>
  <w:footnote w:type="continuationSeparator" w:id="0">
    <w:p w14:paraId="233512E0" w14:textId="77777777" w:rsidR="00962770" w:rsidRDefault="009627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D77CAE"/>
    <w:multiLevelType w:val="multilevel"/>
    <w:tmpl w:val="F89AB2C2"/>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18495DB3"/>
    <w:multiLevelType w:val="hybridMultilevel"/>
    <w:tmpl w:val="F032315A"/>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2" w15:restartNumberingAfterBreak="0">
    <w:nsid w:val="345D2466"/>
    <w:multiLevelType w:val="hybridMultilevel"/>
    <w:tmpl w:val="32E6F590"/>
    <w:lvl w:ilvl="0" w:tplc="1F58CEA2">
      <w:start w:val="3"/>
      <w:numFmt w:val="bullet"/>
      <w:lvlText w:val=""/>
      <w:lvlJc w:val="left"/>
      <w:pPr>
        <w:ind w:left="720" w:hanging="360"/>
      </w:pPr>
      <w:rPr>
        <w:rFonts w:ascii="Symbol" w:eastAsiaTheme="minorEastAsia" w:hAnsi="Symbol" w:cstheme="minorBidi" w:hint="default"/>
      </w:rPr>
    </w:lvl>
    <w:lvl w:ilvl="1" w:tplc="BE6240E8">
      <w:start w:val="1"/>
      <w:numFmt w:val="bullet"/>
      <w:lvlText w:val="o"/>
      <w:lvlJc w:val="left"/>
      <w:pPr>
        <w:ind w:left="1440" w:hanging="360"/>
      </w:pPr>
      <w:rPr>
        <w:rFonts w:ascii="Courier New" w:hAnsi="Courier New" w:cs="Courier New" w:hint="default"/>
      </w:rPr>
    </w:lvl>
    <w:lvl w:ilvl="2" w:tplc="6CFA3726">
      <w:start w:val="1"/>
      <w:numFmt w:val="bullet"/>
      <w:lvlText w:val=""/>
      <w:lvlJc w:val="left"/>
      <w:pPr>
        <w:ind w:left="2160" w:hanging="360"/>
      </w:pPr>
      <w:rPr>
        <w:rFonts w:ascii="Wingdings" w:hAnsi="Wingdings" w:hint="default"/>
      </w:rPr>
    </w:lvl>
    <w:lvl w:ilvl="3" w:tplc="3D9C1A66">
      <w:start w:val="1"/>
      <w:numFmt w:val="bullet"/>
      <w:lvlText w:val=""/>
      <w:lvlJc w:val="left"/>
      <w:pPr>
        <w:ind w:left="2880" w:hanging="360"/>
      </w:pPr>
      <w:rPr>
        <w:rFonts w:ascii="Symbol" w:hAnsi="Symbol" w:hint="default"/>
      </w:rPr>
    </w:lvl>
    <w:lvl w:ilvl="4" w:tplc="0F5A3060">
      <w:start w:val="1"/>
      <w:numFmt w:val="bullet"/>
      <w:lvlText w:val="o"/>
      <w:lvlJc w:val="left"/>
      <w:pPr>
        <w:ind w:left="3600" w:hanging="360"/>
      </w:pPr>
      <w:rPr>
        <w:rFonts w:ascii="Courier New" w:hAnsi="Courier New" w:cs="Courier New" w:hint="default"/>
      </w:rPr>
    </w:lvl>
    <w:lvl w:ilvl="5" w:tplc="44A85268">
      <w:start w:val="1"/>
      <w:numFmt w:val="bullet"/>
      <w:lvlText w:val=""/>
      <w:lvlJc w:val="left"/>
      <w:pPr>
        <w:ind w:left="4320" w:hanging="360"/>
      </w:pPr>
      <w:rPr>
        <w:rFonts w:ascii="Wingdings" w:hAnsi="Wingdings" w:hint="default"/>
      </w:rPr>
    </w:lvl>
    <w:lvl w:ilvl="6" w:tplc="BE4012E4">
      <w:start w:val="1"/>
      <w:numFmt w:val="bullet"/>
      <w:lvlText w:val=""/>
      <w:lvlJc w:val="left"/>
      <w:pPr>
        <w:ind w:left="5040" w:hanging="360"/>
      </w:pPr>
      <w:rPr>
        <w:rFonts w:ascii="Symbol" w:hAnsi="Symbol" w:hint="default"/>
      </w:rPr>
    </w:lvl>
    <w:lvl w:ilvl="7" w:tplc="2B6C3598">
      <w:start w:val="1"/>
      <w:numFmt w:val="bullet"/>
      <w:lvlText w:val="o"/>
      <w:lvlJc w:val="left"/>
      <w:pPr>
        <w:ind w:left="5760" w:hanging="360"/>
      </w:pPr>
      <w:rPr>
        <w:rFonts w:ascii="Courier New" w:hAnsi="Courier New" w:cs="Courier New" w:hint="default"/>
      </w:rPr>
    </w:lvl>
    <w:lvl w:ilvl="8" w:tplc="8DFA3FB6">
      <w:start w:val="1"/>
      <w:numFmt w:val="bullet"/>
      <w:lvlText w:val=""/>
      <w:lvlJc w:val="left"/>
      <w:pPr>
        <w:ind w:left="6480" w:hanging="360"/>
      </w:pPr>
      <w:rPr>
        <w:rFonts w:ascii="Wingdings" w:hAnsi="Wingdings" w:hint="default"/>
      </w:rPr>
    </w:lvl>
  </w:abstractNum>
  <w:abstractNum w:abstractNumId="3" w15:restartNumberingAfterBreak="0">
    <w:nsid w:val="429B7559"/>
    <w:multiLevelType w:val="hybridMultilevel"/>
    <w:tmpl w:val="685C2EF2"/>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4" w15:restartNumberingAfterBreak="0">
    <w:nsid w:val="4B373EA4"/>
    <w:multiLevelType w:val="hybridMultilevel"/>
    <w:tmpl w:val="D406A47C"/>
    <w:lvl w:ilvl="0" w:tplc="B09AAC2C">
      <w:start w:val="3"/>
      <w:numFmt w:val="bullet"/>
      <w:lvlText w:val=""/>
      <w:lvlJc w:val="left"/>
      <w:pPr>
        <w:ind w:left="720" w:hanging="360"/>
      </w:pPr>
      <w:rPr>
        <w:rFonts w:ascii="Symbol" w:eastAsiaTheme="minorEastAsia" w:hAnsi="Symbol" w:cstheme="minorBidi" w:hint="default"/>
      </w:rPr>
    </w:lvl>
    <w:lvl w:ilvl="1" w:tplc="B8CE6282">
      <w:start w:val="1"/>
      <w:numFmt w:val="bullet"/>
      <w:lvlText w:val="o"/>
      <w:lvlJc w:val="left"/>
      <w:pPr>
        <w:ind w:left="1440" w:hanging="360"/>
      </w:pPr>
      <w:rPr>
        <w:rFonts w:ascii="Courier New" w:hAnsi="Courier New" w:cs="Courier New" w:hint="default"/>
      </w:rPr>
    </w:lvl>
    <w:lvl w:ilvl="2" w:tplc="748ED5FE">
      <w:start w:val="1"/>
      <w:numFmt w:val="bullet"/>
      <w:lvlText w:val=""/>
      <w:lvlJc w:val="left"/>
      <w:pPr>
        <w:ind w:left="2160" w:hanging="360"/>
      </w:pPr>
      <w:rPr>
        <w:rFonts w:ascii="Wingdings" w:hAnsi="Wingdings" w:hint="default"/>
      </w:rPr>
    </w:lvl>
    <w:lvl w:ilvl="3" w:tplc="19369D48">
      <w:start w:val="1"/>
      <w:numFmt w:val="bullet"/>
      <w:lvlText w:val=""/>
      <w:lvlJc w:val="left"/>
      <w:pPr>
        <w:ind w:left="2880" w:hanging="360"/>
      </w:pPr>
      <w:rPr>
        <w:rFonts w:ascii="Symbol" w:hAnsi="Symbol" w:hint="default"/>
      </w:rPr>
    </w:lvl>
    <w:lvl w:ilvl="4" w:tplc="3E662082">
      <w:start w:val="1"/>
      <w:numFmt w:val="bullet"/>
      <w:lvlText w:val="o"/>
      <w:lvlJc w:val="left"/>
      <w:pPr>
        <w:ind w:left="3600" w:hanging="360"/>
      </w:pPr>
      <w:rPr>
        <w:rFonts w:ascii="Courier New" w:hAnsi="Courier New" w:cs="Courier New" w:hint="default"/>
      </w:rPr>
    </w:lvl>
    <w:lvl w:ilvl="5" w:tplc="7032ADD2">
      <w:start w:val="1"/>
      <w:numFmt w:val="bullet"/>
      <w:lvlText w:val=""/>
      <w:lvlJc w:val="left"/>
      <w:pPr>
        <w:ind w:left="4320" w:hanging="360"/>
      </w:pPr>
      <w:rPr>
        <w:rFonts w:ascii="Wingdings" w:hAnsi="Wingdings" w:hint="default"/>
      </w:rPr>
    </w:lvl>
    <w:lvl w:ilvl="6" w:tplc="CE66B68C">
      <w:start w:val="1"/>
      <w:numFmt w:val="bullet"/>
      <w:lvlText w:val=""/>
      <w:lvlJc w:val="left"/>
      <w:pPr>
        <w:ind w:left="5040" w:hanging="360"/>
      </w:pPr>
      <w:rPr>
        <w:rFonts w:ascii="Symbol" w:hAnsi="Symbol" w:hint="default"/>
      </w:rPr>
    </w:lvl>
    <w:lvl w:ilvl="7" w:tplc="99CCA3EA">
      <w:start w:val="1"/>
      <w:numFmt w:val="bullet"/>
      <w:lvlText w:val="o"/>
      <w:lvlJc w:val="left"/>
      <w:pPr>
        <w:ind w:left="5760" w:hanging="360"/>
      </w:pPr>
      <w:rPr>
        <w:rFonts w:ascii="Courier New" w:hAnsi="Courier New" w:cs="Courier New" w:hint="default"/>
      </w:rPr>
    </w:lvl>
    <w:lvl w:ilvl="8" w:tplc="F7F06426">
      <w:start w:val="1"/>
      <w:numFmt w:val="bullet"/>
      <w:lvlText w:val=""/>
      <w:lvlJc w:val="left"/>
      <w:pPr>
        <w:ind w:left="6480" w:hanging="360"/>
      </w:pPr>
      <w:rPr>
        <w:rFonts w:ascii="Wingdings" w:hAnsi="Wingdings" w:hint="default"/>
      </w:rPr>
    </w:lvl>
  </w:abstractNum>
  <w:num w:numId="1" w16cid:durableId="1282685512">
    <w:abstractNumId w:val="4"/>
  </w:num>
  <w:num w:numId="2" w16cid:durableId="325675581">
    <w:abstractNumId w:val="2"/>
  </w:num>
  <w:num w:numId="3" w16cid:durableId="626393262">
    <w:abstractNumId w:val="0"/>
  </w:num>
  <w:num w:numId="4" w16cid:durableId="928738958">
    <w:abstractNumId w:val="1"/>
  </w:num>
  <w:num w:numId="5" w16cid:durableId="13028805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2F85"/>
    <w:rsid w:val="00004150"/>
    <w:rsid w:val="00013EF3"/>
    <w:rsid w:val="00016575"/>
    <w:rsid w:val="000202D5"/>
    <w:rsid w:val="0002072A"/>
    <w:rsid w:val="00021397"/>
    <w:rsid w:val="000247AC"/>
    <w:rsid w:val="0004086B"/>
    <w:rsid w:val="00040927"/>
    <w:rsid w:val="00042C17"/>
    <w:rsid w:val="000523B9"/>
    <w:rsid w:val="000533D6"/>
    <w:rsid w:val="00054839"/>
    <w:rsid w:val="000621A7"/>
    <w:rsid w:val="00063280"/>
    <w:rsid w:val="00097320"/>
    <w:rsid w:val="000A5BF8"/>
    <w:rsid w:val="000C496C"/>
    <w:rsid w:val="000E722E"/>
    <w:rsid w:val="001000B9"/>
    <w:rsid w:val="001052AE"/>
    <w:rsid w:val="00115A2F"/>
    <w:rsid w:val="001203F5"/>
    <w:rsid w:val="00122F85"/>
    <w:rsid w:val="00122FDA"/>
    <w:rsid w:val="0012381D"/>
    <w:rsid w:val="00126216"/>
    <w:rsid w:val="001552DE"/>
    <w:rsid w:val="00174812"/>
    <w:rsid w:val="001821CA"/>
    <w:rsid w:val="001917E4"/>
    <w:rsid w:val="001A300C"/>
    <w:rsid w:val="001A691B"/>
    <w:rsid w:val="001D3F7E"/>
    <w:rsid w:val="001D7B7F"/>
    <w:rsid w:val="001E434D"/>
    <w:rsid w:val="001F4783"/>
    <w:rsid w:val="001F4C24"/>
    <w:rsid w:val="00212136"/>
    <w:rsid w:val="00221FCC"/>
    <w:rsid w:val="0022251E"/>
    <w:rsid w:val="002309A7"/>
    <w:rsid w:val="002365F9"/>
    <w:rsid w:val="00244ECD"/>
    <w:rsid w:val="00246084"/>
    <w:rsid w:val="00251815"/>
    <w:rsid w:val="00267CCA"/>
    <w:rsid w:val="00267EEF"/>
    <w:rsid w:val="00275749"/>
    <w:rsid w:val="0027623B"/>
    <w:rsid w:val="00276950"/>
    <w:rsid w:val="00281538"/>
    <w:rsid w:val="002A4CBA"/>
    <w:rsid w:val="002B7350"/>
    <w:rsid w:val="002F5B29"/>
    <w:rsid w:val="002F7C6D"/>
    <w:rsid w:val="0030516C"/>
    <w:rsid w:val="00306704"/>
    <w:rsid w:val="00321348"/>
    <w:rsid w:val="003338DD"/>
    <w:rsid w:val="003354EA"/>
    <w:rsid w:val="00336F51"/>
    <w:rsid w:val="00344F7E"/>
    <w:rsid w:val="00357920"/>
    <w:rsid w:val="00357B47"/>
    <w:rsid w:val="00361AE3"/>
    <w:rsid w:val="00362FCF"/>
    <w:rsid w:val="003935FE"/>
    <w:rsid w:val="003A0E98"/>
    <w:rsid w:val="003B4846"/>
    <w:rsid w:val="003C636C"/>
    <w:rsid w:val="003D1D99"/>
    <w:rsid w:val="003D5F70"/>
    <w:rsid w:val="003F2682"/>
    <w:rsid w:val="004003A3"/>
    <w:rsid w:val="00404F32"/>
    <w:rsid w:val="00411E62"/>
    <w:rsid w:val="00425BD3"/>
    <w:rsid w:val="004439BB"/>
    <w:rsid w:val="00483434"/>
    <w:rsid w:val="00490D44"/>
    <w:rsid w:val="004B04CE"/>
    <w:rsid w:val="004B3E49"/>
    <w:rsid w:val="004C1094"/>
    <w:rsid w:val="004D51C9"/>
    <w:rsid w:val="004E17D3"/>
    <w:rsid w:val="005079B9"/>
    <w:rsid w:val="005111B6"/>
    <w:rsid w:val="0052401F"/>
    <w:rsid w:val="005374F9"/>
    <w:rsid w:val="00561377"/>
    <w:rsid w:val="0056669C"/>
    <w:rsid w:val="0056727D"/>
    <w:rsid w:val="005761FC"/>
    <w:rsid w:val="00593EC0"/>
    <w:rsid w:val="00597875"/>
    <w:rsid w:val="005A262F"/>
    <w:rsid w:val="005C2B94"/>
    <w:rsid w:val="005C2E5C"/>
    <w:rsid w:val="005C2EB0"/>
    <w:rsid w:val="005C78B7"/>
    <w:rsid w:val="005E0894"/>
    <w:rsid w:val="005E56B3"/>
    <w:rsid w:val="005F5130"/>
    <w:rsid w:val="006108D3"/>
    <w:rsid w:val="0063249E"/>
    <w:rsid w:val="006369F1"/>
    <w:rsid w:val="0063705A"/>
    <w:rsid w:val="00646EA2"/>
    <w:rsid w:val="0065787F"/>
    <w:rsid w:val="006A03E8"/>
    <w:rsid w:val="006A6669"/>
    <w:rsid w:val="006C2442"/>
    <w:rsid w:val="006C6911"/>
    <w:rsid w:val="006F005D"/>
    <w:rsid w:val="006F1719"/>
    <w:rsid w:val="006F33FE"/>
    <w:rsid w:val="007017F6"/>
    <w:rsid w:val="00703BEF"/>
    <w:rsid w:val="00704397"/>
    <w:rsid w:val="0070759B"/>
    <w:rsid w:val="00710061"/>
    <w:rsid w:val="00722917"/>
    <w:rsid w:val="0073516A"/>
    <w:rsid w:val="007439AD"/>
    <w:rsid w:val="0076022C"/>
    <w:rsid w:val="00761F06"/>
    <w:rsid w:val="00773BC1"/>
    <w:rsid w:val="007774AA"/>
    <w:rsid w:val="007805CB"/>
    <w:rsid w:val="0079106A"/>
    <w:rsid w:val="007A1AC0"/>
    <w:rsid w:val="007B6429"/>
    <w:rsid w:val="007C5C1E"/>
    <w:rsid w:val="007C76F6"/>
    <w:rsid w:val="007F1109"/>
    <w:rsid w:val="007F1906"/>
    <w:rsid w:val="00823EC5"/>
    <w:rsid w:val="00834AC7"/>
    <w:rsid w:val="00835CB7"/>
    <w:rsid w:val="00854EF4"/>
    <w:rsid w:val="00870FBF"/>
    <w:rsid w:val="008741A2"/>
    <w:rsid w:val="00875611"/>
    <w:rsid w:val="008814A7"/>
    <w:rsid w:val="00890935"/>
    <w:rsid w:val="008973C3"/>
    <w:rsid w:val="008A11F2"/>
    <w:rsid w:val="008A7D8D"/>
    <w:rsid w:val="008C0149"/>
    <w:rsid w:val="008C7912"/>
    <w:rsid w:val="008D2888"/>
    <w:rsid w:val="008D315A"/>
    <w:rsid w:val="008E22F8"/>
    <w:rsid w:val="008E67D6"/>
    <w:rsid w:val="008F57C9"/>
    <w:rsid w:val="00901C42"/>
    <w:rsid w:val="009153DD"/>
    <w:rsid w:val="009168A7"/>
    <w:rsid w:val="00927EC1"/>
    <w:rsid w:val="00945587"/>
    <w:rsid w:val="00945741"/>
    <w:rsid w:val="00945EAD"/>
    <w:rsid w:val="009575B1"/>
    <w:rsid w:val="00962770"/>
    <w:rsid w:val="009874F1"/>
    <w:rsid w:val="00996D8D"/>
    <w:rsid w:val="009A1BB9"/>
    <w:rsid w:val="009A1F0C"/>
    <w:rsid w:val="009B6189"/>
    <w:rsid w:val="009B618C"/>
    <w:rsid w:val="009C2D80"/>
    <w:rsid w:val="009C4824"/>
    <w:rsid w:val="009C6230"/>
    <w:rsid w:val="009E29F1"/>
    <w:rsid w:val="009E39E1"/>
    <w:rsid w:val="009F38F9"/>
    <w:rsid w:val="00A04620"/>
    <w:rsid w:val="00A04BF0"/>
    <w:rsid w:val="00A14C5C"/>
    <w:rsid w:val="00A16549"/>
    <w:rsid w:val="00A16F31"/>
    <w:rsid w:val="00A230D9"/>
    <w:rsid w:val="00A55286"/>
    <w:rsid w:val="00A627A7"/>
    <w:rsid w:val="00A67101"/>
    <w:rsid w:val="00A770F1"/>
    <w:rsid w:val="00A853D2"/>
    <w:rsid w:val="00A9751D"/>
    <w:rsid w:val="00AB1FAB"/>
    <w:rsid w:val="00AB3DC6"/>
    <w:rsid w:val="00AD116D"/>
    <w:rsid w:val="00AD3004"/>
    <w:rsid w:val="00AE7115"/>
    <w:rsid w:val="00AF34F2"/>
    <w:rsid w:val="00B126BB"/>
    <w:rsid w:val="00B12BEE"/>
    <w:rsid w:val="00B31BC8"/>
    <w:rsid w:val="00B47059"/>
    <w:rsid w:val="00B54D5D"/>
    <w:rsid w:val="00B637F4"/>
    <w:rsid w:val="00B65775"/>
    <w:rsid w:val="00B719B6"/>
    <w:rsid w:val="00B758D8"/>
    <w:rsid w:val="00B82498"/>
    <w:rsid w:val="00B94CC0"/>
    <w:rsid w:val="00B969C0"/>
    <w:rsid w:val="00BA37F7"/>
    <w:rsid w:val="00BC60BE"/>
    <w:rsid w:val="00BD0539"/>
    <w:rsid w:val="00BD69EF"/>
    <w:rsid w:val="00C22C7C"/>
    <w:rsid w:val="00C2782D"/>
    <w:rsid w:val="00C30771"/>
    <w:rsid w:val="00C4539B"/>
    <w:rsid w:val="00C45778"/>
    <w:rsid w:val="00C477D4"/>
    <w:rsid w:val="00C62E21"/>
    <w:rsid w:val="00C81842"/>
    <w:rsid w:val="00C9273B"/>
    <w:rsid w:val="00CA35DF"/>
    <w:rsid w:val="00CC03BD"/>
    <w:rsid w:val="00CC2ED1"/>
    <w:rsid w:val="00CC67A6"/>
    <w:rsid w:val="00CC7F8E"/>
    <w:rsid w:val="00CE10A7"/>
    <w:rsid w:val="00CE2C29"/>
    <w:rsid w:val="00CF467C"/>
    <w:rsid w:val="00CF5120"/>
    <w:rsid w:val="00D079F2"/>
    <w:rsid w:val="00D3166C"/>
    <w:rsid w:val="00D36EAA"/>
    <w:rsid w:val="00D46E69"/>
    <w:rsid w:val="00D57CD9"/>
    <w:rsid w:val="00D632C8"/>
    <w:rsid w:val="00D70D9C"/>
    <w:rsid w:val="00D825A9"/>
    <w:rsid w:val="00D83D37"/>
    <w:rsid w:val="00D96EB3"/>
    <w:rsid w:val="00DB64F1"/>
    <w:rsid w:val="00DC51D7"/>
    <w:rsid w:val="00DC65B4"/>
    <w:rsid w:val="00DD11DF"/>
    <w:rsid w:val="00DD3231"/>
    <w:rsid w:val="00DE3F51"/>
    <w:rsid w:val="00DF28D3"/>
    <w:rsid w:val="00DF2E09"/>
    <w:rsid w:val="00E020C3"/>
    <w:rsid w:val="00E04C3C"/>
    <w:rsid w:val="00E05592"/>
    <w:rsid w:val="00E074C6"/>
    <w:rsid w:val="00E23157"/>
    <w:rsid w:val="00E31045"/>
    <w:rsid w:val="00E3720F"/>
    <w:rsid w:val="00E5696D"/>
    <w:rsid w:val="00E668C3"/>
    <w:rsid w:val="00E71FC2"/>
    <w:rsid w:val="00E81FDE"/>
    <w:rsid w:val="00E94494"/>
    <w:rsid w:val="00EA44E9"/>
    <w:rsid w:val="00EB3FEA"/>
    <w:rsid w:val="00EB597D"/>
    <w:rsid w:val="00EB7267"/>
    <w:rsid w:val="00EC3015"/>
    <w:rsid w:val="00EC7069"/>
    <w:rsid w:val="00ED39B5"/>
    <w:rsid w:val="00ED5345"/>
    <w:rsid w:val="00EE1118"/>
    <w:rsid w:val="00EE3B8D"/>
    <w:rsid w:val="00EF1F8C"/>
    <w:rsid w:val="00EF66A2"/>
    <w:rsid w:val="00EF6C2C"/>
    <w:rsid w:val="00F137D8"/>
    <w:rsid w:val="00F13BC5"/>
    <w:rsid w:val="00F342D5"/>
    <w:rsid w:val="00F353F0"/>
    <w:rsid w:val="00F506C9"/>
    <w:rsid w:val="00F52118"/>
    <w:rsid w:val="00F549ED"/>
    <w:rsid w:val="00F67102"/>
    <w:rsid w:val="00F83FB7"/>
    <w:rsid w:val="00F942B7"/>
    <w:rsid w:val="00FB30AB"/>
    <w:rsid w:val="00FC4D0F"/>
    <w:rsid w:val="00FC5DC7"/>
    <w:rsid w:val="00FD48D7"/>
    <w:rsid w:val="00FE5D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897709"/>
  <w15:docId w15:val="{99574CD0-A096-46B7-A741-630CA2B0F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sv-S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1"/>
    <w:uiPriority w:val="9"/>
    <w:qFormat/>
    <w:pPr>
      <w:numPr>
        <w:numId w:val="3"/>
      </w:numPr>
      <w:spacing w:before="240" w:after="240" w:line="360" w:lineRule="auto"/>
      <w:ind w:left="431" w:hanging="431"/>
      <w:jc w:val="both"/>
      <w:outlineLvl w:val="0"/>
    </w:pPr>
    <w:rPr>
      <w:rFonts w:ascii="Calibri" w:eastAsiaTheme="minorHAnsi" w:hAnsi="Calibri" w:cs="Times New Roman"/>
      <w:b/>
      <w:lang w:val="en-GB"/>
    </w:rPr>
  </w:style>
  <w:style w:type="paragraph" w:styleId="Heading2">
    <w:name w:val="heading 2"/>
    <w:basedOn w:val="Normal"/>
    <w:next w:val="Normal"/>
    <w:link w:val="Heading2Char1"/>
    <w:uiPriority w:val="9"/>
    <w:unhideWhenUsed/>
    <w:qFormat/>
    <w:pPr>
      <w:numPr>
        <w:ilvl w:val="1"/>
        <w:numId w:val="3"/>
      </w:numPr>
      <w:spacing w:before="240" w:after="240" w:line="360" w:lineRule="auto"/>
      <w:ind w:left="578" w:hanging="578"/>
      <w:jc w:val="both"/>
      <w:outlineLvl w:val="1"/>
    </w:pPr>
    <w:rPr>
      <w:rFonts w:ascii="Calibri" w:eastAsiaTheme="minorHAnsi" w:hAnsi="Calibri" w:cs="Times New Roman"/>
      <w:b/>
      <w:lang w:val="en-GB"/>
    </w:rPr>
  </w:style>
  <w:style w:type="paragraph" w:styleId="Heading3">
    <w:name w:val="heading 3"/>
    <w:basedOn w:val="Normal"/>
    <w:next w:val="Normal"/>
    <w:link w:val="Heading3Char1"/>
    <w:uiPriority w:val="9"/>
    <w:unhideWhenUsed/>
    <w:qFormat/>
    <w:pPr>
      <w:keepNext/>
      <w:keepLines/>
      <w:numPr>
        <w:ilvl w:val="2"/>
        <w:numId w:val="3"/>
      </w:numPr>
      <w:spacing w:before="120" w:after="120" w:line="360" w:lineRule="auto"/>
      <w:jc w:val="both"/>
      <w:outlineLvl w:val="2"/>
    </w:pPr>
    <w:rPr>
      <w:rFonts w:ascii="Calibri" w:eastAsiaTheme="majorEastAsia" w:hAnsi="Calibri" w:cs="Times New Roman"/>
      <w:b/>
      <w:i/>
      <w:lang w:val="en-GB"/>
    </w:rPr>
  </w:style>
  <w:style w:type="paragraph" w:styleId="Heading4">
    <w:name w:val="heading 4"/>
    <w:basedOn w:val="Normal"/>
    <w:next w:val="Normal"/>
    <w:link w:val="Heading4Char1"/>
    <w:uiPriority w:val="9"/>
    <w:unhideWhenUsed/>
    <w:qFormat/>
    <w:pPr>
      <w:keepNext/>
      <w:keepLines/>
      <w:numPr>
        <w:ilvl w:val="3"/>
        <w:numId w:val="3"/>
      </w:numPr>
      <w:spacing w:before="40" w:line="360" w:lineRule="auto"/>
      <w:jc w:val="both"/>
      <w:outlineLvl w:val="3"/>
    </w:pPr>
    <w:rPr>
      <w:rFonts w:ascii="Calibri" w:eastAsiaTheme="majorEastAsia" w:hAnsi="Calibri" w:cstheme="majorBidi"/>
      <w:i/>
      <w:iCs/>
      <w:lang w:val="en-GB"/>
    </w:rPr>
  </w:style>
  <w:style w:type="paragraph" w:styleId="Heading5">
    <w:name w:val="heading 5"/>
    <w:basedOn w:val="Normal"/>
    <w:next w:val="Normal"/>
    <w:link w:val="Heading5Char1"/>
    <w:uiPriority w:val="9"/>
    <w:semiHidden/>
    <w:unhideWhenUsed/>
    <w:qFormat/>
    <w:pPr>
      <w:keepNext/>
      <w:keepLines/>
      <w:numPr>
        <w:ilvl w:val="4"/>
        <w:numId w:val="3"/>
      </w:numPr>
      <w:spacing w:before="40" w:line="360" w:lineRule="auto"/>
      <w:jc w:val="both"/>
      <w:outlineLvl w:val="4"/>
    </w:pPr>
    <w:rPr>
      <w:rFonts w:asciiTheme="majorHAnsi" w:eastAsiaTheme="majorEastAsia" w:hAnsiTheme="majorHAnsi" w:cstheme="majorBidi"/>
      <w:color w:val="365F91" w:themeColor="accent1" w:themeShade="BF"/>
      <w:lang w:val="en-GB"/>
    </w:rPr>
  </w:style>
  <w:style w:type="paragraph" w:styleId="Heading6">
    <w:name w:val="heading 6"/>
    <w:basedOn w:val="Normal"/>
    <w:next w:val="Normal"/>
    <w:link w:val="Heading6Char1"/>
    <w:uiPriority w:val="9"/>
    <w:semiHidden/>
    <w:unhideWhenUsed/>
    <w:qFormat/>
    <w:pPr>
      <w:keepNext/>
      <w:keepLines/>
      <w:numPr>
        <w:ilvl w:val="5"/>
        <w:numId w:val="3"/>
      </w:numPr>
      <w:spacing w:before="40" w:line="360" w:lineRule="auto"/>
      <w:jc w:val="both"/>
      <w:outlineLvl w:val="5"/>
    </w:pPr>
    <w:rPr>
      <w:rFonts w:asciiTheme="majorHAnsi" w:eastAsiaTheme="majorEastAsia" w:hAnsiTheme="majorHAnsi" w:cstheme="majorBidi"/>
      <w:color w:val="243F60" w:themeColor="accent1" w:themeShade="7F"/>
      <w:lang w:val="en-GB"/>
    </w:rPr>
  </w:style>
  <w:style w:type="paragraph" w:styleId="Heading7">
    <w:name w:val="heading 7"/>
    <w:basedOn w:val="Normal"/>
    <w:next w:val="Normal"/>
    <w:link w:val="Heading7Char1"/>
    <w:uiPriority w:val="9"/>
    <w:semiHidden/>
    <w:unhideWhenUsed/>
    <w:qFormat/>
    <w:pPr>
      <w:keepNext/>
      <w:keepLines/>
      <w:numPr>
        <w:ilvl w:val="6"/>
        <w:numId w:val="3"/>
      </w:numPr>
      <w:spacing w:before="40" w:line="360" w:lineRule="auto"/>
      <w:jc w:val="both"/>
      <w:outlineLvl w:val="6"/>
    </w:pPr>
    <w:rPr>
      <w:rFonts w:asciiTheme="majorHAnsi" w:eastAsiaTheme="majorEastAsia" w:hAnsiTheme="majorHAnsi" w:cstheme="majorBidi"/>
      <w:i/>
      <w:iCs/>
      <w:color w:val="243F60" w:themeColor="accent1" w:themeShade="7F"/>
      <w:lang w:val="en-GB"/>
    </w:rPr>
  </w:style>
  <w:style w:type="paragraph" w:styleId="Heading8">
    <w:name w:val="heading 8"/>
    <w:basedOn w:val="Normal"/>
    <w:next w:val="Normal"/>
    <w:link w:val="Heading8Char1"/>
    <w:uiPriority w:val="9"/>
    <w:semiHidden/>
    <w:unhideWhenUsed/>
    <w:qFormat/>
    <w:pPr>
      <w:keepNext/>
      <w:keepLines/>
      <w:numPr>
        <w:ilvl w:val="7"/>
        <w:numId w:val="3"/>
      </w:numPr>
      <w:spacing w:before="40" w:line="360" w:lineRule="auto"/>
      <w:jc w:val="both"/>
      <w:outlineLvl w:val="7"/>
    </w:pPr>
    <w:rPr>
      <w:rFonts w:asciiTheme="majorHAnsi" w:eastAsiaTheme="majorEastAsia" w:hAnsiTheme="majorHAnsi" w:cstheme="majorBidi"/>
      <w:color w:val="272727" w:themeColor="text1" w:themeTint="D8"/>
      <w:sz w:val="21"/>
      <w:szCs w:val="21"/>
      <w:lang w:val="en-GB"/>
    </w:rPr>
  </w:style>
  <w:style w:type="paragraph" w:styleId="Heading9">
    <w:name w:val="heading 9"/>
    <w:basedOn w:val="Normal"/>
    <w:next w:val="Normal"/>
    <w:link w:val="Heading9Char1"/>
    <w:uiPriority w:val="9"/>
    <w:semiHidden/>
    <w:unhideWhenUsed/>
    <w:qFormat/>
    <w:pPr>
      <w:keepNext/>
      <w:keepLines/>
      <w:numPr>
        <w:ilvl w:val="8"/>
        <w:numId w:val="3"/>
      </w:numPr>
      <w:spacing w:before="40" w:line="360" w:lineRule="auto"/>
      <w:jc w:val="both"/>
      <w:outlineLvl w:val="8"/>
    </w:pPr>
    <w:rPr>
      <w:rFonts w:asciiTheme="majorHAnsi" w:eastAsiaTheme="majorEastAsia" w:hAnsiTheme="majorHAnsi" w:cstheme="majorBidi"/>
      <w:i/>
      <w:iCs/>
      <w:color w:val="272727" w:themeColor="text1" w:themeTint="D8"/>
      <w:sz w:val="21"/>
      <w:szCs w:val="21"/>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uiPriority w:val="9"/>
    <w:rPr>
      <w:rFonts w:ascii="Arial" w:eastAsia="Arial" w:hAnsi="Arial" w:cs="Arial"/>
      <w:sz w:val="40"/>
      <w:szCs w:val="40"/>
    </w:rPr>
  </w:style>
  <w:style w:type="character" w:customStyle="1" w:styleId="Heading2Char">
    <w:name w:val="Heading 2 Char"/>
    <w:basedOn w:val="DefaultParagraphFont"/>
    <w:uiPriority w:val="9"/>
    <w:rPr>
      <w:rFonts w:ascii="Arial" w:eastAsia="Arial" w:hAnsi="Arial" w:cs="Arial"/>
      <w:sz w:val="34"/>
    </w:rPr>
  </w:style>
  <w:style w:type="character" w:customStyle="1" w:styleId="Heading3Char">
    <w:name w:val="Heading 3 Char"/>
    <w:basedOn w:val="DefaultParagraphFont"/>
    <w:uiPriority w:val="9"/>
    <w:rPr>
      <w:rFonts w:ascii="Arial" w:eastAsia="Arial" w:hAnsi="Arial" w:cs="Arial"/>
      <w:sz w:val="30"/>
      <w:szCs w:val="30"/>
    </w:rPr>
  </w:style>
  <w:style w:type="character" w:customStyle="1" w:styleId="Heading4Char">
    <w:name w:val="Heading 4 Char"/>
    <w:basedOn w:val="DefaultParagraphFont"/>
    <w:uiPriority w:val="9"/>
    <w:rPr>
      <w:rFonts w:ascii="Arial" w:eastAsia="Arial" w:hAnsi="Arial" w:cs="Arial"/>
      <w:b/>
      <w:bCs/>
      <w:sz w:val="26"/>
      <w:szCs w:val="26"/>
    </w:rPr>
  </w:style>
  <w:style w:type="character" w:customStyle="1" w:styleId="Heading5Char">
    <w:name w:val="Heading 5 Char"/>
    <w:basedOn w:val="DefaultParagraphFont"/>
    <w:uiPriority w:val="9"/>
    <w:rPr>
      <w:rFonts w:ascii="Arial" w:eastAsia="Arial" w:hAnsi="Arial" w:cs="Arial"/>
      <w:b/>
      <w:bCs/>
      <w:sz w:val="24"/>
      <w:szCs w:val="24"/>
    </w:rPr>
  </w:style>
  <w:style w:type="character" w:customStyle="1" w:styleId="Heading6Char">
    <w:name w:val="Heading 6 Char"/>
    <w:basedOn w:val="DefaultParagraphFont"/>
    <w:uiPriority w:val="9"/>
    <w:rPr>
      <w:rFonts w:ascii="Arial" w:eastAsia="Arial" w:hAnsi="Arial" w:cs="Arial"/>
      <w:b/>
      <w:bCs/>
      <w:sz w:val="22"/>
      <w:szCs w:val="22"/>
    </w:rPr>
  </w:style>
  <w:style w:type="character" w:customStyle="1" w:styleId="Heading7Char">
    <w:name w:val="Heading 7 Char"/>
    <w:basedOn w:val="DefaultParagraphFont"/>
    <w:uiPriority w:val="9"/>
    <w:rPr>
      <w:rFonts w:ascii="Arial" w:eastAsia="Arial" w:hAnsi="Arial" w:cs="Arial"/>
      <w:b/>
      <w:bCs/>
      <w:i/>
      <w:iCs/>
      <w:sz w:val="22"/>
      <w:szCs w:val="22"/>
    </w:rPr>
  </w:style>
  <w:style w:type="character" w:customStyle="1" w:styleId="Heading8Char">
    <w:name w:val="Heading 8 Char"/>
    <w:basedOn w:val="DefaultParagraphFont"/>
    <w:uiPriority w:val="9"/>
    <w:rPr>
      <w:rFonts w:ascii="Arial" w:eastAsia="Arial" w:hAnsi="Arial" w:cs="Arial"/>
      <w:i/>
      <w:iCs/>
      <w:sz w:val="22"/>
      <w:szCs w:val="22"/>
    </w:rPr>
  </w:style>
  <w:style w:type="character" w:customStyle="1" w:styleId="Heading9Char">
    <w:name w:val="Heading 9 Char"/>
    <w:basedOn w:val="DefaultParagraphFont"/>
    <w:uiPriority w:val="9"/>
    <w:rPr>
      <w:rFonts w:ascii="Arial" w:eastAsia="Arial" w:hAnsi="Arial" w:cs="Arial"/>
      <w:i/>
      <w:iCs/>
      <w:sz w:val="21"/>
      <w:szCs w:val="21"/>
    </w:rPr>
  </w:style>
  <w:style w:type="paragraph" w:styleId="NoSpacing">
    <w:name w:val="No Spacing"/>
    <w:uiPriority w:val="1"/>
    <w:qFormat/>
  </w:style>
  <w:style w:type="paragraph" w:styleId="Title">
    <w:name w:val="Title"/>
    <w:basedOn w:val="Normal"/>
    <w:next w:val="Normal"/>
    <w:link w:val="TitleChar"/>
    <w:uiPriority w:val="10"/>
    <w:qFormat/>
    <w:pPr>
      <w:spacing w:before="300" w:after="200"/>
      <w:contextualSpacing/>
    </w:pPr>
    <w:rPr>
      <w:sz w:val="48"/>
      <w:szCs w:val="48"/>
    </w:rPr>
  </w:style>
  <w:style w:type="character" w:customStyle="1" w:styleId="TitleChar">
    <w:name w:val="Title Char"/>
    <w:basedOn w:val="DefaultParagraphFont"/>
    <w:link w:val="Title"/>
    <w:uiPriority w:val="10"/>
    <w:rPr>
      <w:sz w:val="48"/>
      <w:szCs w:val="48"/>
    </w:rPr>
  </w:style>
  <w:style w:type="paragraph" w:styleId="Subtitle">
    <w:name w:val="Subtitle"/>
    <w:basedOn w:val="Normal"/>
    <w:next w:val="Normal"/>
    <w:link w:val="SubtitleChar"/>
    <w:uiPriority w:val="11"/>
    <w:qFormat/>
    <w:pPr>
      <w:spacing w:before="200" w:after="200"/>
    </w:pPr>
  </w:style>
  <w:style w:type="character" w:customStyle="1" w:styleId="SubtitleChar">
    <w:name w:val="Subtitle Char"/>
    <w:basedOn w:val="DefaultParagraphFont"/>
    <w:link w:val="Subtitle"/>
    <w:uiPriority w:val="11"/>
    <w:rPr>
      <w:sz w:val="24"/>
      <w:szCs w:val="24"/>
    </w:rPr>
  </w:style>
  <w:style w:type="paragraph" w:styleId="Quote">
    <w:name w:val="Quote"/>
    <w:basedOn w:val="Normal"/>
    <w:next w:val="Normal"/>
    <w:link w:val="QuoteChar"/>
    <w:uiPriority w:val="29"/>
    <w:qFormat/>
    <w:pPr>
      <w:ind w:left="720" w:right="720"/>
    </w:pPr>
    <w:rPr>
      <w:i/>
    </w:rPr>
  </w:style>
  <w:style w:type="character" w:customStyle="1" w:styleId="QuoteChar">
    <w:name w:val="Quote Char"/>
    <w:link w:val="Quote"/>
    <w:uiPriority w:val="29"/>
    <w:rPr>
      <w:i/>
    </w:rPr>
  </w:style>
  <w:style w:type="paragraph" w:styleId="IntenseQuote">
    <w:name w:val="Intense Quote"/>
    <w:basedOn w:val="Normal"/>
    <w:next w:val="Normal"/>
    <w:link w:val="IntenseQuoteCh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eQuoteChar">
    <w:name w:val="Intense Quote Char"/>
    <w:link w:val="IntenseQuote"/>
    <w:uiPriority w:val="30"/>
    <w:rPr>
      <w:i/>
    </w:rPr>
  </w:style>
  <w:style w:type="character" w:customStyle="1" w:styleId="HeaderChar">
    <w:name w:val="Header Char"/>
    <w:basedOn w:val="DefaultParagraphFont"/>
    <w:uiPriority w:val="99"/>
  </w:style>
  <w:style w:type="character" w:customStyle="1" w:styleId="FooterChar">
    <w:name w:val="Footer Char"/>
    <w:basedOn w:val="DefaultParagraphFont"/>
    <w:uiPriority w:val="99"/>
  </w:style>
  <w:style w:type="paragraph" w:styleId="Caption">
    <w:name w:val="caption"/>
    <w:basedOn w:val="Normal"/>
    <w:next w:val="Normal"/>
    <w:uiPriority w:val="35"/>
    <w:semiHidden/>
    <w:unhideWhenUsed/>
    <w:qFormat/>
    <w:pPr>
      <w:spacing w:line="276" w:lineRule="auto"/>
    </w:pPr>
    <w:rPr>
      <w:b/>
      <w:bCs/>
      <w:color w:val="4F81BD" w:themeColor="accent1"/>
      <w:sz w:val="18"/>
      <w:szCs w:val="18"/>
    </w:rPr>
  </w:style>
  <w:style w:type="character" w:customStyle="1" w:styleId="CaptionChar">
    <w:name w:val="Caption Char"/>
    <w:uiPriority w:val="99"/>
  </w:style>
  <w:style w:type="table" w:customStyle="1" w:styleId="TableGridLight1">
    <w:name w:val="Table Grid Light1"/>
    <w:basedOn w:val="Table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PlainTable1">
    <w:name w:val="Plain Table 1"/>
    <w:basedOn w:val="Table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lainTable2">
    <w:name w:val="Plain Table 2"/>
    <w:basedOn w:val="TableNormal"/>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lainTable3">
    <w:name w:val="Plain Table 3"/>
    <w:basedOn w:val="TableNormal"/>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4">
    <w:name w:val="Plain Table 4"/>
    <w:basedOn w:val="TableNormal"/>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5">
    <w:name w:val="Plain Table 5"/>
    <w:basedOn w:val="TableNormal"/>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ridTable1Light">
    <w:name w:val="Grid Table 1 Light"/>
    <w:basedOn w:val="TableNormal"/>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1">
    <w:name w:val="Grid Table 1 Light - Accent 11"/>
    <w:basedOn w:val="Table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1">
    <w:name w:val="Grid Table 1 Light - Accent 21"/>
    <w:basedOn w:val="Table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1">
    <w:name w:val="Grid Table 1 Light - Accent 31"/>
    <w:basedOn w:val="Table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1">
    <w:name w:val="Grid Table 1 Light - Accent 41"/>
    <w:basedOn w:val="Table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1">
    <w:name w:val="Grid Table 1 Light - Accent 51"/>
    <w:basedOn w:val="Table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1">
    <w:name w:val="Grid Table 1 Light - Accent 61"/>
    <w:basedOn w:val="Table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ridTable2">
    <w:name w:val="Grid Table 2"/>
    <w:basedOn w:val="Table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1">
    <w:name w:val="Grid Table 2 - Accent 11"/>
    <w:basedOn w:val="Table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1">
    <w:name w:val="Grid Table 2 - Accent 21"/>
    <w:basedOn w:val="Table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1">
    <w:name w:val="Grid Table 2 - Accent 31"/>
    <w:basedOn w:val="Table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1">
    <w:name w:val="Grid Table 2 - Accent 41"/>
    <w:basedOn w:val="Table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1">
    <w:name w:val="Grid Table 2 - Accent 51"/>
    <w:basedOn w:val="Table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1">
    <w:name w:val="Grid Table 2 - Accent 61"/>
    <w:basedOn w:val="Table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3">
    <w:name w:val="Grid Table 3"/>
    <w:basedOn w:val="Table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1">
    <w:name w:val="Grid Table 3 - Accent 11"/>
    <w:basedOn w:val="Table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1">
    <w:name w:val="Grid Table 3 - Accent 21"/>
    <w:basedOn w:val="Table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1">
    <w:name w:val="Grid Table 3 - Accent 31"/>
    <w:basedOn w:val="Table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1">
    <w:name w:val="Grid Table 3 - Accent 41"/>
    <w:basedOn w:val="Table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1">
    <w:name w:val="Grid Table 3 - Accent 51"/>
    <w:basedOn w:val="Table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1">
    <w:name w:val="Grid Table 3 - Accent 61"/>
    <w:basedOn w:val="Table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4">
    <w:name w:val="Grid Table 4"/>
    <w:basedOn w:val="TableNormal"/>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1">
    <w:name w:val="Grid Table 4 - Accent 11"/>
    <w:basedOn w:val="TableNormal"/>
    <w:uiPriority w:val="5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1">
    <w:name w:val="Grid Table 4 - Accent 21"/>
    <w:basedOn w:val="TableNormal"/>
    <w:uiPriority w:val="5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1">
    <w:name w:val="Grid Table 4 - Accent 31"/>
    <w:basedOn w:val="TableNormal"/>
    <w:uiPriority w:val="5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1">
    <w:name w:val="Grid Table 4 - Accent 41"/>
    <w:basedOn w:val="TableNormal"/>
    <w:uiPriority w:val="5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1">
    <w:name w:val="Grid Table 4 - Accent 51"/>
    <w:basedOn w:val="TableNormal"/>
    <w:uiPriority w:val="5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1">
    <w:name w:val="Grid Table 4 - Accent 61"/>
    <w:basedOn w:val="TableNormal"/>
    <w:uiPriority w:val="5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5Dark">
    <w:name w:val="Grid Table 5 Dark"/>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1">
    <w:name w:val="Grid Table 5 Dark - Accent 21"/>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1">
    <w:name w:val="Grid Table 5 Dark - Accent 31"/>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1">
    <w:name w:val="Grid Table 5 Dark - Accent 51"/>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1">
    <w:name w:val="Grid Table 5 Dark - Accent 61"/>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GridTable6Colorful">
    <w:name w:val="Grid Table 6 Colorful"/>
    <w:basedOn w:val="TableNormal"/>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1">
    <w:name w:val="Grid Table 6 Colorful - Accent 11"/>
    <w:basedOn w:val="TableNormal"/>
    <w:uiPriority w:val="99"/>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1">
    <w:name w:val="Grid Table 6 Colorful - Accent 21"/>
    <w:basedOn w:val="Table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1">
    <w:name w:val="Grid Table 6 Colorful - Accent 31"/>
    <w:basedOn w:val="TableNormal"/>
    <w:uiPriority w:val="99"/>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1">
    <w:name w:val="Grid Table 6 Colorful - Accent 41"/>
    <w:basedOn w:val="Table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1">
    <w:name w:val="Grid Table 6 Colorful - Accent 51"/>
    <w:basedOn w:val="TableNormal"/>
    <w:uiPriority w:val="99"/>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1">
    <w:name w:val="Grid Table 6 Colorful - Accent 61"/>
    <w:basedOn w:val="TableNormal"/>
    <w:uiPriority w:val="99"/>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GridTable7Colorful">
    <w:name w:val="Grid Table 7 Colorful"/>
    <w:basedOn w:val="TableNormal"/>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1">
    <w:name w:val="Grid Table 7 Colorful - Accent 11"/>
    <w:basedOn w:val="TableNormal"/>
    <w:uiPriority w:val="99"/>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1">
    <w:name w:val="Grid Table 7 Colorful - Accent 21"/>
    <w:basedOn w:val="TableNormal"/>
    <w:uiPriority w:val="99"/>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1">
    <w:name w:val="Grid Table 7 Colorful - Accent 31"/>
    <w:basedOn w:val="TableNormal"/>
    <w:uiPriority w:val="99"/>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1">
    <w:name w:val="Grid Table 7 Colorful - Accent 41"/>
    <w:basedOn w:val="TableNormal"/>
    <w:uiPriority w:val="99"/>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1">
    <w:name w:val="Grid Table 7 Colorful - Accent 51"/>
    <w:basedOn w:val="TableNormal"/>
    <w:uiPriority w:val="99"/>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1">
    <w:name w:val="Grid Table 7 Colorful - Accent 61"/>
    <w:basedOn w:val="TableNormal"/>
    <w:uiPriority w:val="99"/>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ListTable1Light">
    <w:name w:val="List Table 1 Light"/>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1">
    <w:name w:val="List Table 1 Light - Accent 11"/>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1">
    <w:name w:val="List Table 1 Light - Accent 21"/>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1">
    <w:name w:val="List Table 1 Light - Accent 31"/>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1">
    <w:name w:val="List Table 1 Light - Accent 41"/>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1">
    <w:name w:val="List Table 1 Light - Accent 51"/>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1">
    <w:name w:val="List Table 1 Light - Accent 61"/>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ListTable2">
    <w:name w:val="List Table 2"/>
    <w:basedOn w:val="TableNormal"/>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1">
    <w:name w:val="List Table 2 - Accent 11"/>
    <w:basedOn w:val="TableNormal"/>
    <w:uiPriority w:val="99"/>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1">
    <w:name w:val="List Table 2 - Accent 21"/>
    <w:basedOn w:val="TableNormal"/>
    <w:uiPriority w:val="99"/>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1">
    <w:name w:val="List Table 2 - Accent 31"/>
    <w:basedOn w:val="TableNormal"/>
    <w:uiPriority w:val="99"/>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1">
    <w:name w:val="List Table 2 - Accent 41"/>
    <w:basedOn w:val="TableNormal"/>
    <w:uiPriority w:val="99"/>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1">
    <w:name w:val="List Table 2 - Accent 51"/>
    <w:basedOn w:val="TableNormal"/>
    <w:uiPriority w:val="99"/>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1">
    <w:name w:val="List Table 2 - Accent 61"/>
    <w:basedOn w:val="TableNormal"/>
    <w:uiPriority w:val="99"/>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3">
    <w:name w:val="List Table 3"/>
    <w:basedOn w:val="Table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1">
    <w:name w:val="List Table 3 - Accent 11"/>
    <w:basedOn w:val="TableNormal"/>
    <w:uiPriority w:val="99"/>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1">
    <w:name w:val="List Table 3 - Accent 21"/>
    <w:basedOn w:val="Table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1">
    <w:name w:val="List Table 3 - Accent 31"/>
    <w:basedOn w:val="TableNormal"/>
    <w:uiPriority w:val="99"/>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1">
    <w:name w:val="List Table 3 - Accent 41"/>
    <w:basedOn w:val="Table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1">
    <w:name w:val="List Table 3 - Accent 51"/>
    <w:basedOn w:val="TableNormal"/>
    <w:uiPriority w:val="99"/>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1">
    <w:name w:val="List Table 3 - Accent 61"/>
    <w:basedOn w:val="TableNormal"/>
    <w:uiPriority w:val="99"/>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Table4">
    <w:name w:val="List Table 4"/>
    <w:basedOn w:val="Table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1">
    <w:name w:val="List Table 4 - Accent 11"/>
    <w:basedOn w:val="TableNormal"/>
    <w:uiPriority w:val="9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1">
    <w:name w:val="List Table 4 - Accent 21"/>
    <w:basedOn w:val="TableNormal"/>
    <w:uiPriority w:val="9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1">
    <w:name w:val="List Table 4 - Accent 31"/>
    <w:basedOn w:val="TableNormal"/>
    <w:uiPriority w:val="9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1">
    <w:name w:val="List Table 4 - Accent 41"/>
    <w:basedOn w:val="TableNormal"/>
    <w:uiPriority w:val="9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1">
    <w:name w:val="List Table 4 - Accent 51"/>
    <w:basedOn w:val="TableNormal"/>
    <w:uiPriority w:val="9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1">
    <w:name w:val="List Table 4 - Accent 61"/>
    <w:basedOn w:val="TableNormal"/>
    <w:uiPriority w:val="9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5Dark">
    <w:name w:val="List Table 5 Dark"/>
    <w:basedOn w:val="TableNormal"/>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1">
    <w:name w:val="List Table 5 Dark - Accent 11"/>
    <w:basedOn w:val="TableNormal"/>
    <w:uiPriority w:val="99"/>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1">
    <w:name w:val="List Table 5 Dark - Accent 21"/>
    <w:basedOn w:val="TableNormal"/>
    <w:uiPriority w:val="99"/>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1">
    <w:name w:val="List Table 5 Dark - Accent 31"/>
    <w:basedOn w:val="TableNormal"/>
    <w:uiPriority w:val="99"/>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1">
    <w:name w:val="List Table 5 Dark - Accent 41"/>
    <w:basedOn w:val="TableNormal"/>
    <w:uiPriority w:val="99"/>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1">
    <w:name w:val="List Table 5 Dark - Accent 51"/>
    <w:basedOn w:val="TableNormal"/>
    <w:uiPriority w:val="99"/>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1">
    <w:name w:val="List Table 5 Dark - Accent 61"/>
    <w:basedOn w:val="TableNormal"/>
    <w:uiPriority w:val="99"/>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ListTable6Colorful">
    <w:name w:val="List Table 6 Colorful"/>
    <w:basedOn w:val="TableNormal"/>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1">
    <w:name w:val="List Table 6 Colorful - Accent 11"/>
    <w:basedOn w:val="TableNormal"/>
    <w:uiPriority w:val="99"/>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1">
    <w:name w:val="List Table 6 Colorful - Accent 21"/>
    <w:basedOn w:val="TableNormal"/>
    <w:uiPriority w:val="99"/>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1">
    <w:name w:val="List Table 6 Colorful - Accent 31"/>
    <w:basedOn w:val="TableNormal"/>
    <w:uiPriority w:val="99"/>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1">
    <w:name w:val="List Table 6 Colorful - Accent 41"/>
    <w:basedOn w:val="TableNormal"/>
    <w:uiPriority w:val="99"/>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1">
    <w:name w:val="List Table 6 Colorful - Accent 51"/>
    <w:basedOn w:val="TableNormal"/>
    <w:uiPriority w:val="99"/>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1">
    <w:name w:val="List Table 6 Colorful - Accent 61"/>
    <w:basedOn w:val="TableNormal"/>
    <w:uiPriority w:val="99"/>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ListTable7Colorful">
    <w:name w:val="List Table 7 Colorful"/>
    <w:basedOn w:val="TableNormal"/>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1">
    <w:name w:val="List Table 7 Colorful - Accent 11"/>
    <w:basedOn w:val="TableNormal"/>
    <w:uiPriority w:val="99"/>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1">
    <w:name w:val="List Table 7 Colorful - Accent 21"/>
    <w:basedOn w:val="TableNormal"/>
    <w:uiPriority w:val="99"/>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1">
    <w:name w:val="List Table 7 Colorful - Accent 31"/>
    <w:basedOn w:val="TableNormal"/>
    <w:uiPriority w:val="99"/>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1">
    <w:name w:val="List Table 7 Colorful - Accent 41"/>
    <w:basedOn w:val="TableNormal"/>
    <w:uiPriority w:val="99"/>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1">
    <w:name w:val="List Table 7 Colorful - Accent 51"/>
    <w:basedOn w:val="TableNormal"/>
    <w:uiPriority w:val="99"/>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1">
    <w:name w:val="List Table 7 Colorful - Accent 61"/>
    <w:basedOn w:val="TableNormal"/>
    <w:uiPriority w:val="99"/>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Normal"/>
    <w:uiPriority w:val="99"/>
    <w:rPr>
      <w:color w:val="404040"/>
      <w:sz w:val="20"/>
      <w:szCs w:val="20"/>
      <w:lang w:val="it-IT" w:eastAsia="it-IT"/>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Normal"/>
    <w:uiPriority w:val="99"/>
    <w:rPr>
      <w:color w:val="404040"/>
      <w:sz w:val="20"/>
      <w:szCs w:val="20"/>
      <w:lang w:val="it-IT" w:eastAsia="it-IT"/>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Normal"/>
    <w:uiPriority w:val="99"/>
    <w:rPr>
      <w:color w:val="404040"/>
      <w:sz w:val="20"/>
      <w:szCs w:val="20"/>
      <w:lang w:val="it-IT" w:eastAsia="it-IT"/>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Normal"/>
    <w:uiPriority w:val="99"/>
    <w:rPr>
      <w:color w:val="404040"/>
      <w:sz w:val="20"/>
      <w:szCs w:val="20"/>
      <w:lang w:val="it-IT" w:eastAsia="it-IT"/>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Normal"/>
    <w:uiPriority w:val="99"/>
    <w:rPr>
      <w:color w:val="404040"/>
      <w:sz w:val="20"/>
      <w:szCs w:val="20"/>
      <w:lang w:val="it-IT" w:eastAsia="it-IT"/>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Normal"/>
    <w:uiPriority w:val="99"/>
    <w:rPr>
      <w:color w:val="404040"/>
      <w:sz w:val="20"/>
      <w:szCs w:val="20"/>
      <w:lang w:val="it-IT" w:eastAsia="it-IT"/>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Normal"/>
    <w:uiPriority w:val="99"/>
    <w:rPr>
      <w:color w:val="404040"/>
      <w:sz w:val="20"/>
      <w:szCs w:val="20"/>
      <w:lang w:val="it-IT" w:eastAsia="it-IT"/>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Normal"/>
    <w:uiPriority w:val="99"/>
    <w:rPr>
      <w:color w:val="404040"/>
      <w:sz w:val="20"/>
      <w:szCs w:val="20"/>
      <w:lang w:val="it-IT" w:eastAsia="it-IT"/>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Normal"/>
    <w:uiPriority w:val="99"/>
    <w:rPr>
      <w:color w:val="404040"/>
      <w:sz w:val="20"/>
      <w:szCs w:val="20"/>
      <w:lang w:val="it-IT" w:eastAsia="it-IT"/>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Normal"/>
    <w:uiPriority w:val="99"/>
    <w:rPr>
      <w:color w:val="404040"/>
      <w:sz w:val="20"/>
      <w:szCs w:val="20"/>
      <w:lang w:val="it-IT" w:eastAsia="it-IT"/>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Normal"/>
    <w:uiPriority w:val="99"/>
    <w:rPr>
      <w:color w:val="404040"/>
      <w:sz w:val="20"/>
      <w:szCs w:val="20"/>
      <w:lang w:val="it-IT" w:eastAsia="it-IT"/>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Normal"/>
    <w:uiPriority w:val="99"/>
    <w:rPr>
      <w:color w:val="404040"/>
      <w:sz w:val="20"/>
      <w:szCs w:val="20"/>
      <w:lang w:val="it-IT" w:eastAsia="it-IT"/>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Normal"/>
    <w:uiPriority w:val="99"/>
    <w:rPr>
      <w:color w:val="404040"/>
      <w:sz w:val="20"/>
      <w:szCs w:val="20"/>
      <w:lang w:val="it-IT" w:eastAsia="it-IT"/>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Normal"/>
    <w:uiPriority w:val="99"/>
    <w:rPr>
      <w:color w:val="404040"/>
      <w:sz w:val="20"/>
      <w:szCs w:val="20"/>
      <w:lang w:val="it-IT" w:eastAsia="it-IT"/>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Normal"/>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FootnoteText">
    <w:name w:val="footnote text"/>
    <w:basedOn w:val="Normal"/>
    <w:link w:val="FootnoteTextChar"/>
    <w:uiPriority w:val="99"/>
    <w:semiHidden/>
    <w:unhideWhenUsed/>
    <w:pPr>
      <w:spacing w:after="40"/>
    </w:pPr>
    <w:rPr>
      <w:sz w:val="18"/>
    </w:rPr>
  </w:style>
  <w:style w:type="character" w:customStyle="1" w:styleId="FootnoteTextChar">
    <w:name w:val="Footnote Text Char"/>
    <w:link w:val="FootnoteText"/>
    <w:uiPriority w:val="99"/>
    <w:rPr>
      <w:sz w:val="18"/>
    </w:rPr>
  </w:style>
  <w:style w:type="character" w:styleId="FootnoteReference">
    <w:name w:val="footnote reference"/>
    <w:basedOn w:val="DefaultParagraphFont"/>
    <w:uiPriority w:val="99"/>
    <w:unhideWhenUsed/>
    <w:rPr>
      <w:vertAlign w:val="superscript"/>
    </w:rPr>
  </w:style>
  <w:style w:type="paragraph" w:styleId="EndnoteText">
    <w:name w:val="endnote text"/>
    <w:basedOn w:val="Normal"/>
    <w:link w:val="EndnoteTextChar"/>
    <w:uiPriority w:val="99"/>
    <w:semiHidden/>
    <w:unhideWhenUsed/>
    <w:rPr>
      <w:sz w:val="20"/>
    </w:rPr>
  </w:style>
  <w:style w:type="character" w:customStyle="1" w:styleId="EndnoteTextChar">
    <w:name w:val="Endnote Text Char"/>
    <w:link w:val="EndnoteText"/>
    <w:uiPriority w:val="99"/>
    <w:rPr>
      <w:sz w:val="20"/>
    </w:rPr>
  </w:style>
  <w:style w:type="character" w:styleId="EndnoteReference">
    <w:name w:val="endnote reference"/>
    <w:basedOn w:val="DefaultParagraphFont"/>
    <w:uiPriority w:val="99"/>
    <w:semiHidden/>
    <w:unhideWhenUsed/>
    <w:rPr>
      <w:vertAlign w:val="superscript"/>
    </w:rPr>
  </w:style>
  <w:style w:type="paragraph" w:styleId="TOC1">
    <w:name w:val="toc 1"/>
    <w:basedOn w:val="Normal"/>
    <w:next w:val="Normal"/>
    <w:uiPriority w:val="39"/>
    <w:unhideWhenUsed/>
    <w:pPr>
      <w:spacing w:after="57"/>
    </w:pPr>
  </w:style>
  <w:style w:type="paragraph" w:styleId="TOC2">
    <w:name w:val="toc 2"/>
    <w:basedOn w:val="Normal"/>
    <w:next w:val="Normal"/>
    <w:uiPriority w:val="39"/>
    <w:unhideWhenUsed/>
    <w:pPr>
      <w:spacing w:after="57"/>
      <w:ind w:left="283"/>
    </w:pPr>
  </w:style>
  <w:style w:type="paragraph" w:styleId="TOC3">
    <w:name w:val="toc 3"/>
    <w:basedOn w:val="Normal"/>
    <w:next w:val="Normal"/>
    <w:uiPriority w:val="39"/>
    <w:unhideWhenUsed/>
    <w:pPr>
      <w:spacing w:after="57"/>
      <w:ind w:left="567"/>
    </w:pPr>
  </w:style>
  <w:style w:type="paragraph" w:styleId="TOC4">
    <w:name w:val="toc 4"/>
    <w:basedOn w:val="Normal"/>
    <w:next w:val="Normal"/>
    <w:uiPriority w:val="39"/>
    <w:unhideWhenUsed/>
    <w:pPr>
      <w:spacing w:after="57"/>
      <w:ind w:left="850"/>
    </w:pPr>
  </w:style>
  <w:style w:type="paragraph" w:styleId="TOC5">
    <w:name w:val="toc 5"/>
    <w:basedOn w:val="Normal"/>
    <w:next w:val="Normal"/>
    <w:uiPriority w:val="39"/>
    <w:unhideWhenUsed/>
    <w:pPr>
      <w:spacing w:after="57"/>
      <w:ind w:left="1134"/>
    </w:pPr>
  </w:style>
  <w:style w:type="paragraph" w:styleId="TOC6">
    <w:name w:val="toc 6"/>
    <w:basedOn w:val="Normal"/>
    <w:next w:val="Normal"/>
    <w:uiPriority w:val="39"/>
    <w:unhideWhenUsed/>
    <w:pPr>
      <w:spacing w:after="57"/>
      <w:ind w:left="1417"/>
    </w:pPr>
  </w:style>
  <w:style w:type="paragraph" w:styleId="TOC7">
    <w:name w:val="toc 7"/>
    <w:basedOn w:val="Normal"/>
    <w:next w:val="Normal"/>
    <w:uiPriority w:val="39"/>
    <w:unhideWhenUsed/>
    <w:pPr>
      <w:spacing w:after="57"/>
      <w:ind w:left="1701"/>
    </w:pPr>
  </w:style>
  <w:style w:type="paragraph" w:styleId="TOC8">
    <w:name w:val="toc 8"/>
    <w:basedOn w:val="Normal"/>
    <w:next w:val="Normal"/>
    <w:uiPriority w:val="39"/>
    <w:unhideWhenUsed/>
    <w:pPr>
      <w:spacing w:after="57"/>
      <w:ind w:left="1984"/>
    </w:pPr>
  </w:style>
  <w:style w:type="paragraph" w:styleId="TOC9">
    <w:name w:val="toc 9"/>
    <w:basedOn w:val="Normal"/>
    <w:next w:val="Normal"/>
    <w:uiPriority w:val="39"/>
    <w:unhideWhenUsed/>
    <w:pPr>
      <w:spacing w:after="57"/>
      <w:ind w:left="2268"/>
    </w:pPr>
  </w:style>
  <w:style w:type="paragraph" w:styleId="TOCHeading">
    <w:name w:val="TOC Heading"/>
    <w:uiPriority w:val="39"/>
    <w:unhideWhenUsed/>
  </w:style>
  <w:style w:type="paragraph" w:styleId="TableofFigures">
    <w:name w:val="table of figures"/>
    <w:basedOn w:val="Normal"/>
    <w:next w:val="Normal"/>
    <w:uiPriority w:val="99"/>
    <w:unhideWhenUsed/>
  </w:style>
  <w:style w:type="character" w:styleId="CommentReference">
    <w:name w:val="annotation reference"/>
    <w:basedOn w:val="DefaultParagraphFont"/>
    <w:uiPriority w:val="99"/>
    <w:semiHidden/>
    <w:unhideWhenUsed/>
    <w:rPr>
      <w:sz w:val="18"/>
      <w:szCs w:val="18"/>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paragraph" w:styleId="CommentSubject">
    <w:name w:val="annotation subject"/>
    <w:basedOn w:val="CommentText"/>
    <w:next w:val="CommentText"/>
    <w:link w:val="CommentSubjectChar"/>
    <w:uiPriority w:val="99"/>
    <w:semiHidden/>
    <w:unhideWhenUsed/>
    <w:rPr>
      <w:b/>
      <w:bCs/>
      <w:sz w:val="20"/>
      <w:szCs w:val="20"/>
    </w:rPr>
  </w:style>
  <w:style w:type="character" w:customStyle="1" w:styleId="CommentSubjectChar">
    <w:name w:val="Comment Subject Char"/>
    <w:basedOn w:val="CommentTextChar"/>
    <w:link w:val="CommentSubject"/>
    <w:uiPriority w:val="99"/>
    <w:semiHidden/>
    <w:rPr>
      <w:b/>
      <w:bCs/>
      <w:sz w:val="20"/>
      <w:szCs w:val="20"/>
    </w:rPr>
  </w:style>
  <w:style w:type="paragraph" w:styleId="BalloonText">
    <w:name w:val="Balloon Text"/>
    <w:basedOn w:val="Normal"/>
    <w:link w:val="BalloonTextChar"/>
    <w:uiPriority w:val="99"/>
    <w:semiHidden/>
    <w:unhideWhenUse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Pr>
      <w:rFonts w:ascii="lucida grande" w:hAnsi="lucida grande" w:cs="lucida grande"/>
      <w:sz w:val="18"/>
      <w:szCs w:val="18"/>
    </w:rPr>
  </w:style>
  <w:style w:type="character" w:customStyle="1" w:styleId="tlid-translation">
    <w:name w:val="tlid-translation"/>
    <w:basedOn w:val="DefaultParagraphFont"/>
  </w:style>
  <w:style w:type="table" w:styleId="TableGrid">
    <w:name w:val="Table Grid"/>
    <w:basedOn w:val="Table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laceholderText">
    <w:name w:val="Placeholder Text"/>
    <w:basedOn w:val="DefaultParagraphFont"/>
    <w:uiPriority w:val="99"/>
    <w:semiHidden/>
    <w:rPr>
      <w:color w:val="808080"/>
    </w:rPr>
  </w:style>
  <w:style w:type="paragraph" w:styleId="Revision">
    <w:name w:val="Revision"/>
    <w:hidden/>
    <w:uiPriority w:val="99"/>
    <w:semiHidden/>
  </w:style>
  <w:style w:type="paragraph" w:styleId="Bibliography">
    <w:name w:val="Bibliography"/>
    <w:basedOn w:val="Normal"/>
    <w:next w:val="Normal"/>
    <w:uiPriority w:val="37"/>
    <w:unhideWhenUsed/>
    <w:pPr>
      <w:tabs>
        <w:tab w:val="left" w:pos="504"/>
      </w:tabs>
      <w:ind w:left="504" w:hanging="504"/>
    </w:pPr>
  </w:style>
  <w:style w:type="character" w:styleId="LineNumber">
    <w:name w:val="line number"/>
    <w:basedOn w:val="DefaultParagraphFont"/>
    <w:uiPriority w:val="99"/>
    <w:semiHidden/>
    <w:unhideWhenUsed/>
  </w:style>
  <w:style w:type="paragraph" w:styleId="Header">
    <w:name w:val="header"/>
    <w:basedOn w:val="Normal"/>
    <w:link w:val="HeaderChar1"/>
    <w:uiPriority w:val="99"/>
    <w:unhideWhenUsed/>
    <w:pPr>
      <w:tabs>
        <w:tab w:val="center" w:pos="4513"/>
        <w:tab w:val="right" w:pos="9026"/>
      </w:tabs>
    </w:pPr>
  </w:style>
  <w:style w:type="character" w:customStyle="1" w:styleId="HeaderChar1">
    <w:name w:val="Header Char1"/>
    <w:basedOn w:val="DefaultParagraphFont"/>
    <w:link w:val="Header"/>
    <w:uiPriority w:val="99"/>
  </w:style>
  <w:style w:type="paragraph" w:styleId="Footer">
    <w:name w:val="footer"/>
    <w:basedOn w:val="Normal"/>
    <w:link w:val="FooterChar1"/>
    <w:uiPriority w:val="99"/>
    <w:unhideWhenUsed/>
    <w:pPr>
      <w:tabs>
        <w:tab w:val="center" w:pos="4513"/>
        <w:tab w:val="right" w:pos="9026"/>
      </w:tabs>
    </w:pPr>
  </w:style>
  <w:style w:type="character" w:customStyle="1" w:styleId="FooterChar1">
    <w:name w:val="Footer Char1"/>
    <w:basedOn w:val="DefaultParagraphFont"/>
    <w:link w:val="Footer"/>
    <w:uiPriority w:val="99"/>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character" w:customStyle="1" w:styleId="UnresolvedMention1">
    <w:name w:val="Unresolved Mention1"/>
    <w:basedOn w:val="DefaultParagraphFont"/>
    <w:uiPriority w:val="99"/>
    <w:semiHidden/>
    <w:unhideWhenUsed/>
    <w:rPr>
      <w:color w:val="605E5C"/>
      <w:shd w:val="clear" w:color="auto" w:fill="E1DFDD"/>
    </w:rPr>
  </w:style>
  <w:style w:type="character" w:customStyle="1" w:styleId="UnresolvedMention2">
    <w:name w:val="Unresolved Mention2"/>
    <w:basedOn w:val="DefaultParagraphFont"/>
    <w:uiPriority w:val="99"/>
    <w:semiHidden/>
    <w:unhideWhenUsed/>
    <w:rPr>
      <w:color w:val="605E5C"/>
      <w:shd w:val="clear" w:color="auto" w:fill="E1DFDD"/>
    </w:rPr>
  </w:style>
  <w:style w:type="character" w:styleId="FollowedHyperlink">
    <w:name w:val="FollowedHyperlink"/>
    <w:basedOn w:val="DefaultParagraphFont"/>
    <w:uiPriority w:val="99"/>
    <w:semiHidden/>
    <w:unhideWhenUsed/>
    <w:rPr>
      <w:color w:val="800080" w:themeColor="followedHyperlink"/>
      <w:u w:val="single"/>
    </w:rPr>
  </w:style>
  <w:style w:type="character" w:customStyle="1" w:styleId="Heading1Char1">
    <w:name w:val="Heading 1 Char1"/>
    <w:basedOn w:val="DefaultParagraphFont"/>
    <w:link w:val="Heading1"/>
    <w:uiPriority w:val="9"/>
    <w:rPr>
      <w:rFonts w:ascii="Calibri" w:eastAsiaTheme="minorHAnsi" w:hAnsi="Calibri" w:cs="Times New Roman"/>
      <w:b/>
      <w:lang w:val="en-GB"/>
    </w:rPr>
  </w:style>
  <w:style w:type="character" w:customStyle="1" w:styleId="Heading2Char1">
    <w:name w:val="Heading 2 Char1"/>
    <w:basedOn w:val="DefaultParagraphFont"/>
    <w:link w:val="Heading2"/>
    <w:uiPriority w:val="9"/>
    <w:rPr>
      <w:rFonts w:ascii="Calibri" w:eastAsiaTheme="minorHAnsi" w:hAnsi="Calibri" w:cs="Times New Roman"/>
      <w:b/>
      <w:lang w:val="en-GB"/>
    </w:rPr>
  </w:style>
  <w:style w:type="character" w:customStyle="1" w:styleId="Heading3Char1">
    <w:name w:val="Heading 3 Char1"/>
    <w:basedOn w:val="DefaultParagraphFont"/>
    <w:link w:val="Heading3"/>
    <w:uiPriority w:val="9"/>
    <w:rPr>
      <w:rFonts w:ascii="Calibri" w:eastAsiaTheme="majorEastAsia" w:hAnsi="Calibri" w:cs="Times New Roman"/>
      <w:b/>
      <w:i/>
      <w:lang w:val="en-GB"/>
    </w:rPr>
  </w:style>
  <w:style w:type="character" w:customStyle="1" w:styleId="Heading4Char1">
    <w:name w:val="Heading 4 Char1"/>
    <w:basedOn w:val="DefaultParagraphFont"/>
    <w:link w:val="Heading4"/>
    <w:uiPriority w:val="9"/>
    <w:rPr>
      <w:rFonts w:ascii="Calibri" w:eastAsiaTheme="majorEastAsia" w:hAnsi="Calibri" w:cstheme="majorBidi"/>
      <w:i/>
      <w:iCs/>
      <w:lang w:val="en-GB"/>
    </w:rPr>
  </w:style>
  <w:style w:type="character" w:customStyle="1" w:styleId="Heading5Char1">
    <w:name w:val="Heading 5 Char1"/>
    <w:basedOn w:val="DefaultParagraphFont"/>
    <w:link w:val="Heading5"/>
    <w:uiPriority w:val="9"/>
    <w:semiHidden/>
    <w:rPr>
      <w:rFonts w:asciiTheme="majorHAnsi" w:eastAsiaTheme="majorEastAsia" w:hAnsiTheme="majorHAnsi" w:cstheme="majorBidi"/>
      <w:color w:val="365F91" w:themeColor="accent1" w:themeShade="BF"/>
      <w:lang w:val="en-GB"/>
    </w:rPr>
  </w:style>
  <w:style w:type="character" w:customStyle="1" w:styleId="Heading6Char1">
    <w:name w:val="Heading 6 Char1"/>
    <w:basedOn w:val="DefaultParagraphFont"/>
    <w:link w:val="Heading6"/>
    <w:uiPriority w:val="9"/>
    <w:semiHidden/>
    <w:rPr>
      <w:rFonts w:asciiTheme="majorHAnsi" w:eastAsiaTheme="majorEastAsia" w:hAnsiTheme="majorHAnsi" w:cstheme="majorBidi"/>
      <w:color w:val="243F60" w:themeColor="accent1" w:themeShade="7F"/>
      <w:lang w:val="en-GB"/>
    </w:rPr>
  </w:style>
  <w:style w:type="character" w:customStyle="1" w:styleId="Heading7Char1">
    <w:name w:val="Heading 7 Char1"/>
    <w:basedOn w:val="DefaultParagraphFont"/>
    <w:link w:val="Heading7"/>
    <w:uiPriority w:val="9"/>
    <w:semiHidden/>
    <w:rPr>
      <w:rFonts w:asciiTheme="majorHAnsi" w:eastAsiaTheme="majorEastAsia" w:hAnsiTheme="majorHAnsi" w:cstheme="majorBidi"/>
      <w:i/>
      <w:iCs/>
      <w:color w:val="243F60" w:themeColor="accent1" w:themeShade="7F"/>
      <w:lang w:val="en-GB"/>
    </w:rPr>
  </w:style>
  <w:style w:type="character" w:customStyle="1" w:styleId="Heading8Char1">
    <w:name w:val="Heading 8 Char1"/>
    <w:basedOn w:val="DefaultParagraphFont"/>
    <w:link w:val="Heading8"/>
    <w:uiPriority w:val="9"/>
    <w:semiHidden/>
    <w:rPr>
      <w:rFonts w:asciiTheme="majorHAnsi" w:eastAsiaTheme="majorEastAsia" w:hAnsiTheme="majorHAnsi" w:cstheme="majorBidi"/>
      <w:color w:val="272727" w:themeColor="text1" w:themeTint="D8"/>
      <w:sz w:val="21"/>
      <w:szCs w:val="21"/>
      <w:lang w:val="en-GB"/>
    </w:rPr>
  </w:style>
  <w:style w:type="character" w:customStyle="1" w:styleId="Heading9Char1">
    <w:name w:val="Heading 9 Char1"/>
    <w:basedOn w:val="DefaultParagraphFont"/>
    <w:link w:val="Heading9"/>
    <w:uiPriority w:val="9"/>
    <w:semiHidden/>
    <w:rPr>
      <w:rFonts w:asciiTheme="majorHAnsi" w:eastAsiaTheme="majorEastAsia" w:hAnsiTheme="majorHAnsi" w:cstheme="majorBidi"/>
      <w:i/>
      <w:iCs/>
      <w:color w:val="272727" w:themeColor="text1" w:themeTint="D8"/>
      <w:sz w:val="21"/>
      <w:szCs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ottaviano.allegretti@ibe.cnr.it" TargetMode="External"/><Relationship Id="rId13" Type="http://schemas.openxmlformats.org/officeDocument/2006/relationships/image" Target="media/image10.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c.europa.eu/growth/sectors/construction/eu-lci-subgroup/eu-lci-values_it" TargetMode="Externa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Arial"/>
        <a:cs typeface="Arial"/>
      </a:majorFont>
      <a:minorFont>
        <a:latin typeface="Cambria"/>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spDef>
      <a:spPr bwMode="auto"/>
      <a:bodyPr/>
      <a:lstStyle/>
      <a:style>
        <a:lnRef idx="1">
          <a:schemeClr val="accent1"/>
        </a:lnRef>
        <a:fillRef idx="3">
          <a:schemeClr val="accent1"/>
        </a:fillRef>
        <a:effectRef idx="2">
          <a:schemeClr val="accent1"/>
        </a:effectRef>
        <a:fontRef idx="minor">
          <a:schemeClr val="lt1"/>
        </a:fontRef>
      </a:style>
    </a:spDef>
    <a:lnDef>
      <a:spPr bwMode="auto"/>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
</file>

<file path=customXml/itemProps1.xml><?xml version="1.0" encoding="utf-8"?>
<ds:datastoreItem xmlns:ds="http://schemas.openxmlformats.org/officeDocument/2006/customXml" ds:itemID="{F9A73478-B7E6-4095-9C8C-EA7B424802BA}"/>
</file>

<file path=docProps/app.xml><?xml version="1.0" encoding="utf-8"?>
<Properties xmlns="http://schemas.openxmlformats.org/officeDocument/2006/extended-properties" xmlns:vt="http://schemas.openxmlformats.org/officeDocument/2006/docPropsVTypes">
  <Template>Normal.dotm</Template>
  <TotalTime>564</TotalTime>
  <Pages>25</Pages>
  <Words>15920</Words>
  <Characters>90744</Characters>
  <Application>Microsoft Office Word</Application>
  <DocSecurity>0</DocSecurity>
  <Lines>756</Lines>
  <Paragraphs>212</Paragraphs>
  <ScaleCrop>false</ScaleCrop>
  <HeadingPairs>
    <vt:vector size="2" baseType="variant">
      <vt:variant>
        <vt:lpstr>Titolo</vt:lpstr>
      </vt:variant>
      <vt:variant>
        <vt:i4>1</vt:i4>
      </vt:variant>
    </vt:vector>
  </HeadingPairs>
  <TitlesOfParts>
    <vt:vector size="1" baseType="lpstr">
      <vt:lpstr/>
    </vt:vector>
  </TitlesOfParts>
  <Company>SLU</Company>
  <LinksUpToDate>false</LinksUpToDate>
  <CharactersWithSpaces>106452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Tasin</dc:creator>
  <cp:keywords/>
  <dc:description/>
  <cp:lastModifiedBy>Romano Andrea</cp:lastModifiedBy>
  <cp:revision>257</cp:revision>
  <dcterms:created xsi:type="dcterms:W3CDTF">2022-07-19T08:36:00Z</dcterms:created>
  <dcterms:modified xsi:type="dcterms:W3CDTF">2022-08-10T16:46:00Z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zotero-version="6.0.10"&gt;&lt;session id="yKhL7Zc1"/&gt;&lt;style id="http://www.zotero.org/styles/talanta" hasBibliography="1" bibliographyStyleHasBeenSet="1"/&gt;&lt;prefs&gt;&lt;pref name="fieldType" value="Field"/&gt;&lt;pref name="automaticJournalAbbreviat</vt:lpwstr>
  </property>
  <property fmtid="{D5CDD505-2E9C-101B-9397-08002B2CF9AE}" pid="3" name="ZOTERO_PREF_2">
    <vt:lpwstr>ions" value="true"/&gt;&lt;/prefs&gt;&lt;/data&gt;</vt:lpwstr>
  </property>
</Properties>
</file>