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C866AC" w14:textId="0B06A5B6" w:rsidR="000A1EB8" w:rsidRPr="000A1EB8" w:rsidRDefault="000A1EB8" w:rsidP="000A1EB8">
      <w:pPr>
        <w:spacing w:line="360" w:lineRule="auto"/>
        <w:jc w:val="center"/>
        <w:rPr>
          <w:rFonts w:ascii="Times New Roman" w:hAnsi="Times New Roman" w:cs="Times New Roman"/>
          <w:b/>
          <w:bCs/>
          <w:sz w:val="28"/>
          <w:szCs w:val="28"/>
          <w:shd w:val="clear" w:color="auto" w:fill="FFFFFF"/>
        </w:rPr>
      </w:pPr>
      <w:r w:rsidRPr="000A1EB8">
        <w:rPr>
          <w:rFonts w:ascii="Times New Roman" w:hAnsi="Times New Roman" w:cs="Times New Roman"/>
          <w:b/>
          <w:bCs/>
          <w:sz w:val="28"/>
          <w:szCs w:val="28"/>
          <w:shd w:val="clear" w:color="auto" w:fill="FFFFFF"/>
        </w:rPr>
        <w:t xml:space="preserve">Appendix </w:t>
      </w:r>
      <w:r w:rsidR="007B1C9C">
        <w:rPr>
          <w:rFonts w:ascii="Times New Roman" w:hAnsi="Times New Roman" w:cs="Times New Roman"/>
          <w:b/>
          <w:bCs/>
          <w:sz w:val="28"/>
          <w:szCs w:val="28"/>
          <w:shd w:val="clear" w:color="auto" w:fill="FFFFFF"/>
        </w:rPr>
        <w:t>C</w:t>
      </w:r>
    </w:p>
    <w:p w14:paraId="47437140" w14:textId="6B64601F" w:rsidR="0040421B" w:rsidRDefault="0040421B" w:rsidP="000A1EB8">
      <w:pPr>
        <w:spacing w:line="36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Figures to support the </w:t>
      </w:r>
      <w:r w:rsidR="001925BE">
        <w:rPr>
          <w:rFonts w:ascii="Times New Roman" w:hAnsi="Times New Roman" w:cs="Times New Roman"/>
          <w:sz w:val="24"/>
          <w:szCs w:val="24"/>
          <w:shd w:val="clear" w:color="auto" w:fill="FFFFFF"/>
        </w:rPr>
        <w:t>discussion in Section 2.</w:t>
      </w:r>
      <w:r w:rsidR="000A1EB8">
        <w:rPr>
          <w:rFonts w:ascii="Times New Roman" w:hAnsi="Times New Roman" w:cs="Times New Roman"/>
          <w:sz w:val="24"/>
          <w:szCs w:val="24"/>
          <w:shd w:val="clear" w:color="auto" w:fill="FFFFFF"/>
        </w:rPr>
        <w:t>3.</w:t>
      </w:r>
    </w:p>
    <w:p w14:paraId="015C7913" w14:textId="77777777" w:rsidR="0040421B" w:rsidRDefault="0040421B" w:rsidP="0040421B">
      <w:pPr>
        <w:keepNext/>
        <w:spacing w:line="360" w:lineRule="auto"/>
        <w:jc w:val="both"/>
      </w:pPr>
      <w:r w:rsidRPr="00404B27">
        <w:rPr>
          <w:rFonts w:ascii="Times New Roman" w:hAnsi="Times New Roman" w:cs="Times New Roman"/>
          <w:noProof/>
          <w:sz w:val="24"/>
          <w:szCs w:val="24"/>
        </w:rPr>
        <w:drawing>
          <wp:inline distT="0" distB="0" distL="0" distR="0" wp14:anchorId="5ED9A07C" wp14:editId="5DEE9BEC">
            <wp:extent cx="6120130" cy="2283460"/>
            <wp:effectExtent l="0" t="0" r="0" b="2540"/>
            <wp:docPr id="4849223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20130" cy="2283460"/>
                    </a:xfrm>
                    <a:prstGeom prst="rect">
                      <a:avLst/>
                    </a:prstGeom>
                    <a:noFill/>
                    <a:ln>
                      <a:noFill/>
                    </a:ln>
                  </pic:spPr>
                </pic:pic>
              </a:graphicData>
            </a:graphic>
          </wp:inline>
        </w:drawing>
      </w:r>
    </w:p>
    <w:p w14:paraId="539D72B1" w14:textId="3B7AC573" w:rsidR="0040421B" w:rsidRPr="00FC180C" w:rsidRDefault="0040421B" w:rsidP="0040421B">
      <w:pPr>
        <w:spacing w:after="0" w:line="360" w:lineRule="auto"/>
        <w:jc w:val="center"/>
        <w:rPr>
          <w:rFonts w:ascii="Times New Roman" w:hAnsi="Times New Roman" w:cs="Times New Roman"/>
          <w:i/>
          <w:iCs/>
          <w:sz w:val="20"/>
          <w:szCs w:val="20"/>
          <w:shd w:val="clear" w:color="auto" w:fill="FFFFFF"/>
        </w:rPr>
      </w:pPr>
      <w:bookmarkStart w:id="0" w:name="_Ref205291415"/>
      <w:r w:rsidRPr="006C0014">
        <w:rPr>
          <w:rFonts w:ascii="Times New Roman" w:hAnsi="Times New Roman" w:cs="Times New Roman"/>
          <w:i/>
          <w:iCs/>
          <w:sz w:val="20"/>
          <w:szCs w:val="20"/>
        </w:rPr>
        <w:t xml:space="preserve">Figure </w:t>
      </w:r>
      <w:r w:rsidR="00CF38EC">
        <w:rPr>
          <w:rFonts w:ascii="Times New Roman" w:hAnsi="Times New Roman" w:cs="Times New Roman"/>
          <w:i/>
          <w:iCs/>
          <w:sz w:val="20"/>
          <w:szCs w:val="20"/>
        </w:rPr>
        <w:t>C</w:t>
      </w:r>
      <w:r w:rsidRPr="006C0014">
        <w:rPr>
          <w:rFonts w:ascii="Times New Roman" w:hAnsi="Times New Roman" w:cs="Times New Roman"/>
          <w:i/>
          <w:iCs/>
          <w:sz w:val="20"/>
          <w:szCs w:val="20"/>
        </w:rPr>
        <w:fldChar w:fldCharType="begin"/>
      </w:r>
      <w:r w:rsidRPr="006C0014">
        <w:rPr>
          <w:rFonts w:ascii="Times New Roman" w:hAnsi="Times New Roman" w:cs="Times New Roman"/>
          <w:i/>
          <w:iCs/>
          <w:sz w:val="20"/>
          <w:szCs w:val="20"/>
        </w:rPr>
        <w:instrText xml:space="preserve"> SEQ Figure \* ARABIC </w:instrText>
      </w:r>
      <w:r w:rsidRPr="006C0014">
        <w:rPr>
          <w:rFonts w:ascii="Times New Roman" w:hAnsi="Times New Roman" w:cs="Times New Roman"/>
          <w:i/>
          <w:iCs/>
          <w:sz w:val="20"/>
          <w:szCs w:val="20"/>
        </w:rPr>
        <w:fldChar w:fldCharType="separate"/>
      </w:r>
      <w:r>
        <w:rPr>
          <w:rFonts w:ascii="Times New Roman" w:hAnsi="Times New Roman" w:cs="Times New Roman"/>
          <w:i/>
          <w:iCs/>
          <w:noProof/>
          <w:sz w:val="20"/>
          <w:szCs w:val="20"/>
        </w:rPr>
        <w:t>1</w:t>
      </w:r>
      <w:r w:rsidRPr="006C0014">
        <w:rPr>
          <w:rFonts w:ascii="Times New Roman" w:hAnsi="Times New Roman" w:cs="Times New Roman"/>
          <w:i/>
          <w:iCs/>
          <w:sz w:val="20"/>
          <w:szCs w:val="20"/>
        </w:rPr>
        <w:fldChar w:fldCharType="end"/>
      </w:r>
      <w:bookmarkEnd w:id="0"/>
      <w:r w:rsidRPr="006C0014">
        <w:rPr>
          <w:rFonts w:ascii="Times New Roman" w:hAnsi="Times New Roman" w:cs="Times New Roman"/>
          <w:i/>
          <w:iCs/>
          <w:sz w:val="20"/>
          <w:szCs w:val="20"/>
        </w:rPr>
        <w:t xml:space="preserve">: </w:t>
      </w:r>
      <w:r w:rsidRPr="006C0014">
        <w:rPr>
          <w:rFonts w:ascii="Times New Roman" w:hAnsi="Times New Roman" w:cs="Times New Roman"/>
          <w:i/>
          <w:iCs/>
          <w:sz w:val="20"/>
          <w:szCs w:val="20"/>
          <w:shd w:val="clear" w:color="auto" w:fill="FFFFFF"/>
        </w:rPr>
        <w:t xml:space="preserve">Ratio of Energy end-use expenditures to GDP for the OECD economies. </w:t>
      </w:r>
      <w:r w:rsidRPr="006C0014">
        <w:rPr>
          <w:rFonts w:ascii="Times New Roman" w:eastAsia="Times New Roman" w:hAnsi="Times New Roman" w:cs="Times New Roman"/>
          <w:i/>
          <w:iCs/>
          <w:sz w:val="20"/>
          <w:szCs w:val="20"/>
          <w:lang w:eastAsia="it-IT"/>
        </w:rPr>
        <w:t xml:space="preserve">Periods of high energy </w:t>
      </w:r>
      <w:r w:rsidRPr="006C0014">
        <w:rPr>
          <w:rFonts w:ascii="Times New Roman" w:hAnsi="Times New Roman" w:cs="Times New Roman"/>
          <w:i/>
          <w:iCs/>
          <w:sz w:val="20"/>
          <w:szCs w:val="20"/>
          <w:shd w:val="clear" w:color="auto" w:fill="FFFFFF"/>
        </w:rPr>
        <w:t>expenditures are often associated with a recession, (shaded areas). End-use prices, expressed in local currency, include taxes and are reported at the country level for 29 OECD countries. GDP shares are aggregated using moving GDP weights in PPP terms. (Source: International Energy Agency; OECD Economic Outlook 112 database; US Energy Information Administration; Japanese Power; German Federal Network Agency (SMARD); Korea Electric Power Statistics Information System; Canada Independent Electricity System Operator; and OECD calculations).</w:t>
      </w:r>
    </w:p>
    <w:p w14:paraId="5A45D142" w14:textId="77777777" w:rsidR="0040421B" w:rsidRPr="006824CD" w:rsidRDefault="0040421B" w:rsidP="0040421B">
      <w:pPr>
        <w:pStyle w:val="Caption"/>
        <w:jc w:val="both"/>
        <w:rPr>
          <w:rFonts w:ascii="Times New Roman" w:hAnsi="Times New Roman" w:cs="Times New Roman"/>
          <w:iCs w:val="0"/>
        </w:rPr>
      </w:pPr>
    </w:p>
    <w:p w14:paraId="4379B7EE" w14:textId="77777777" w:rsidR="0040421B" w:rsidRDefault="0040421B" w:rsidP="0040421B">
      <w:pPr>
        <w:keepNext/>
        <w:spacing w:line="278" w:lineRule="auto"/>
        <w:jc w:val="center"/>
      </w:pPr>
      <w:r w:rsidRPr="00404B27">
        <w:rPr>
          <w:rFonts w:ascii="Times New Roman" w:hAnsi="Times New Roman" w:cs="Times New Roman"/>
          <w:noProof/>
          <w:sz w:val="24"/>
          <w:szCs w:val="24"/>
        </w:rPr>
        <w:drawing>
          <wp:inline distT="0" distB="0" distL="0" distR="0" wp14:anchorId="25E095A3" wp14:editId="33D94D15">
            <wp:extent cx="5494866" cy="2989301"/>
            <wp:effectExtent l="0" t="0" r="0" b="1905"/>
            <wp:docPr id="15566694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512167" cy="2998713"/>
                    </a:xfrm>
                    <a:prstGeom prst="rect">
                      <a:avLst/>
                    </a:prstGeom>
                    <a:noFill/>
                    <a:ln>
                      <a:noFill/>
                    </a:ln>
                  </pic:spPr>
                </pic:pic>
              </a:graphicData>
            </a:graphic>
          </wp:inline>
        </w:drawing>
      </w:r>
    </w:p>
    <w:p w14:paraId="2F91EEF8" w14:textId="6FF59D2C" w:rsidR="0040421B" w:rsidRPr="006C6C30" w:rsidRDefault="0040421B" w:rsidP="0040421B">
      <w:pPr>
        <w:spacing w:after="0" w:line="360" w:lineRule="auto"/>
        <w:jc w:val="center"/>
        <w:rPr>
          <w:rFonts w:ascii="Times New Roman" w:hAnsi="Times New Roman" w:cs="Times New Roman"/>
          <w:i/>
          <w:iCs/>
          <w:sz w:val="20"/>
          <w:szCs w:val="20"/>
        </w:rPr>
      </w:pPr>
      <w:bookmarkStart w:id="1" w:name="_Ref205291419"/>
      <w:r w:rsidRPr="006C0014">
        <w:rPr>
          <w:rFonts w:ascii="Times New Roman" w:hAnsi="Times New Roman" w:cs="Times New Roman"/>
          <w:i/>
          <w:iCs/>
          <w:sz w:val="20"/>
          <w:szCs w:val="20"/>
        </w:rPr>
        <w:t xml:space="preserve">Figure </w:t>
      </w:r>
      <w:r w:rsidR="00CF38EC">
        <w:rPr>
          <w:rFonts w:ascii="Times New Roman" w:hAnsi="Times New Roman" w:cs="Times New Roman"/>
          <w:i/>
          <w:iCs/>
          <w:sz w:val="20"/>
          <w:szCs w:val="20"/>
        </w:rPr>
        <w:t>C</w:t>
      </w:r>
      <w:r w:rsidRPr="006C0014">
        <w:rPr>
          <w:rFonts w:ascii="Times New Roman" w:hAnsi="Times New Roman" w:cs="Times New Roman"/>
          <w:i/>
          <w:iCs/>
          <w:sz w:val="20"/>
          <w:szCs w:val="20"/>
        </w:rPr>
        <w:fldChar w:fldCharType="begin"/>
      </w:r>
      <w:r w:rsidRPr="006C0014">
        <w:rPr>
          <w:rFonts w:ascii="Times New Roman" w:hAnsi="Times New Roman" w:cs="Times New Roman"/>
          <w:i/>
          <w:iCs/>
          <w:sz w:val="20"/>
          <w:szCs w:val="20"/>
        </w:rPr>
        <w:instrText xml:space="preserve"> SEQ Figure \* ARABIC </w:instrText>
      </w:r>
      <w:r w:rsidRPr="006C0014">
        <w:rPr>
          <w:rFonts w:ascii="Times New Roman" w:hAnsi="Times New Roman" w:cs="Times New Roman"/>
          <w:i/>
          <w:iCs/>
          <w:sz w:val="20"/>
          <w:szCs w:val="20"/>
        </w:rPr>
        <w:fldChar w:fldCharType="separate"/>
      </w:r>
      <w:r>
        <w:rPr>
          <w:rFonts w:ascii="Times New Roman" w:hAnsi="Times New Roman" w:cs="Times New Roman"/>
          <w:i/>
          <w:iCs/>
          <w:noProof/>
          <w:sz w:val="20"/>
          <w:szCs w:val="20"/>
        </w:rPr>
        <w:t>2</w:t>
      </w:r>
      <w:r w:rsidRPr="006C0014">
        <w:rPr>
          <w:rFonts w:ascii="Times New Roman" w:hAnsi="Times New Roman" w:cs="Times New Roman"/>
          <w:i/>
          <w:iCs/>
          <w:sz w:val="20"/>
          <w:szCs w:val="20"/>
        </w:rPr>
        <w:fldChar w:fldCharType="end"/>
      </w:r>
      <w:bookmarkEnd w:id="1"/>
      <w:r w:rsidRPr="006C0014">
        <w:rPr>
          <w:rFonts w:ascii="Times New Roman" w:hAnsi="Times New Roman" w:cs="Times New Roman"/>
          <w:i/>
          <w:iCs/>
          <w:sz w:val="20"/>
          <w:szCs w:val="20"/>
        </w:rPr>
        <w:t xml:space="preserve"> Average primary Energy costs (missing additional value of secondary energy resources and many taxes), as a percentage of global GDP, over time. (source Thunder said Energy). Shadowed areas are indicating economic recession </w:t>
      </w:r>
      <w:r w:rsidRPr="006C0014">
        <w:rPr>
          <w:rFonts w:ascii="Times New Roman" w:hAnsi="Times New Roman" w:cs="Times New Roman"/>
          <w:i/>
          <w:iCs/>
          <w:sz w:val="20"/>
          <w:szCs w:val="20"/>
        </w:rPr>
        <w:lastRenderedPageBreak/>
        <w:t>periods. Global primary energy expenditure as a percentage of global GDP Primary energy costs share on GDP is substantially lower than final energy costs share index: on average 3-4 percentage points below. This is because energy conversion costs are significant and together with energy taxes (which are generally larger for the non-US countries) create a large difference between primary and final energy costs.</w:t>
      </w:r>
    </w:p>
    <w:p w14:paraId="0C895AD7" w14:textId="77777777" w:rsidR="0040421B" w:rsidRDefault="0040421B" w:rsidP="0040421B">
      <w:pPr>
        <w:spacing w:line="278" w:lineRule="auto"/>
        <w:rPr>
          <w:rFonts w:eastAsia="Courier New" w:cs="Times New Roman"/>
          <w:sz w:val="24"/>
          <w:szCs w:val="32"/>
        </w:rPr>
      </w:pPr>
    </w:p>
    <w:p w14:paraId="0C6EAD2B" w14:textId="77777777" w:rsidR="0040421B" w:rsidRDefault="0040421B" w:rsidP="0040421B">
      <w:pPr>
        <w:keepNext/>
        <w:spacing w:line="278" w:lineRule="auto"/>
        <w:jc w:val="center"/>
      </w:pPr>
      <w:r w:rsidRPr="00404B27">
        <w:rPr>
          <w:rFonts w:ascii="Times New Roman" w:hAnsi="Times New Roman" w:cs="Times New Roman"/>
          <w:noProof/>
          <w:sz w:val="24"/>
          <w:szCs w:val="24"/>
        </w:rPr>
        <w:drawing>
          <wp:inline distT="0" distB="0" distL="0" distR="0" wp14:anchorId="326EE151" wp14:editId="62C6AD3A">
            <wp:extent cx="5414433" cy="3652508"/>
            <wp:effectExtent l="0" t="0" r="0" b="5715"/>
            <wp:docPr id="21153249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
                      <a:extLst>
                        <a:ext uri="{28A0092B-C50C-407E-A947-70E740481C1C}">
                          <a14:useLocalDpi xmlns:a14="http://schemas.microsoft.com/office/drawing/2010/main" val="0"/>
                        </a:ext>
                      </a:extLst>
                    </a:blip>
                    <a:srcRect l="6952" t="4060" r="8591" b="3726"/>
                    <a:stretch>
                      <a:fillRect/>
                    </a:stretch>
                  </pic:blipFill>
                  <pic:spPr bwMode="auto">
                    <a:xfrm>
                      <a:off x="0" y="0"/>
                      <a:ext cx="5438677" cy="3668863"/>
                    </a:xfrm>
                    <a:prstGeom prst="rect">
                      <a:avLst/>
                    </a:prstGeom>
                    <a:noFill/>
                    <a:ln>
                      <a:noFill/>
                    </a:ln>
                    <a:extLst>
                      <a:ext uri="{53640926-AAD7-44D8-BBD7-CCE9431645EC}">
                        <a14:shadowObscured xmlns:a14="http://schemas.microsoft.com/office/drawing/2010/main"/>
                      </a:ext>
                    </a:extLst>
                  </pic:spPr>
                </pic:pic>
              </a:graphicData>
            </a:graphic>
          </wp:inline>
        </w:drawing>
      </w:r>
    </w:p>
    <w:p w14:paraId="0CF613E8" w14:textId="3C9B9D5E" w:rsidR="0040421B" w:rsidRPr="00F31415" w:rsidRDefault="0040421B" w:rsidP="0040421B">
      <w:pPr>
        <w:spacing w:after="0" w:line="360" w:lineRule="auto"/>
        <w:jc w:val="center"/>
        <w:rPr>
          <w:rFonts w:ascii="Times New Roman" w:hAnsi="Times New Roman" w:cs="Times New Roman"/>
          <w:i/>
          <w:iCs/>
          <w:sz w:val="20"/>
          <w:szCs w:val="20"/>
        </w:rPr>
      </w:pPr>
      <w:bookmarkStart w:id="2" w:name="_Ref205291421"/>
      <w:r w:rsidRPr="006C0014">
        <w:rPr>
          <w:rFonts w:ascii="Times New Roman" w:hAnsi="Times New Roman" w:cs="Times New Roman"/>
          <w:i/>
          <w:iCs/>
          <w:sz w:val="20"/>
          <w:szCs w:val="20"/>
        </w:rPr>
        <w:t xml:space="preserve">Figure </w:t>
      </w:r>
      <w:r w:rsidR="00CF38EC">
        <w:rPr>
          <w:rFonts w:ascii="Times New Roman" w:hAnsi="Times New Roman" w:cs="Times New Roman"/>
          <w:i/>
          <w:iCs/>
          <w:sz w:val="20"/>
          <w:szCs w:val="20"/>
        </w:rPr>
        <w:t>C</w:t>
      </w:r>
      <w:r w:rsidRPr="006C0014">
        <w:rPr>
          <w:rFonts w:ascii="Times New Roman" w:hAnsi="Times New Roman" w:cs="Times New Roman"/>
          <w:i/>
          <w:iCs/>
          <w:sz w:val="20"/>
          <w:szCs w:val="20"/>
        </w:rPr>
        <w:fldChar w:fldCharType="begin"/>
      </w:r>
      <w:r w:rsidRPr="006C0014">
        <w:rPr>
          <w:rFonts w:ascii="Times New Roman" w:hAnsi="Times New Roman" w:cs="Times New Roman"/>
          <w:i/>
          <w:iCs/>
          <w:sz w:val="20"/>
          <w:szCs w:val="20"/>
        </w:rPr>
        <w:instrText xml:space="preserve"> SEQ Figure \* ARABIC </w:instrText>
      </w:r>
      <w:r w:rsidRPr="006C0014">
        <w:rPr>
          <w:rFonts w:ascii="Times New Roman" w:hAnsi="Times New Roman" w:cs="Times New Roman"/>
          <w:i/>
          <w:iCs/>
          <w:sz w:val="20"/>
          <w:szCs w:val="20"/>
        </w:rPr>
        <w:fldChar w:fldCharType="separate"/>
      </w:r>
      <w:r>
        <w:rPr>
          <w:rFonts w:ascii="Times New Roman" w:hAnsi="Times New Roman" w:cs="Times New Roman"/>
          <w:i/>
          <w:iCs/>
          <w:noProof/>
          <w:sz w:val="20"/>
          <w:szCs w:val="20"/>
        </w:rPr>
        <w:t>3</w:t>
      </w:r>
      <w:r w:rsidRPr="006C0014">
        <w:rPr>
          <w:rFonts w:ascii="Times New Roman" w:hAnsi="Times New Roman" w:cs="Times New Roman"/>
          <w:i/>
          <w:iCs/>
          <w:sz w:val="20"/>
          <w:szCs w:val="20"/>
        </w:rPr>
        <w:fldChar w:fldCharType="end"/>
      </w:r>
      <w:bookmarkEnd w:id="2"/>
      <w:r w:rsidRPr="006C0014">
        <w:rPr>
          <w:rFonts w:ascii="Times New Roman" w:hAnsi="Times New Roman" w:cs="Times New Roman"/>
          <w:i/>
          <w:iCs/>
          <w:sz w:val="20"/>
          <w:szCs w:val="20"/>
        </w:rPr>
        <w:t>: Crude oil prices per barrel - 70 Year Historical Chart, back to 1946 (source Macrotrends 2025). The price of oil shown is adjusted for inflation using the headline CPI. The current price of WTI crude oil as of June 11, 2025, is $62.52 per barrel. Shadowed areas are indicating economic recession periods.</w:t>
      </w:r>
    </w:p>
    <w:p w14:paraId="5766511E" w14:textId="77777777" w:rsidR="0040421B" w:rsidRDefault="0040421B" w:rsidP="0040421B">
      <w:pPr>
        <w:keepNext/>
        <w:spacing w:line="278" w:lineRule="auto"/>
        <w:jc w:val="center"/>
      </w:pPr>
      <w:r>
        <w:rPr>
          <w:rFonts w:eastAsia="Courier New" w:cs="Times New Roman"/>
          <w:sz w:val="24"/>
          <w:szCs w:val="32"/>
        </w:rPr>
        <w:lastRenderedPageBreak/>
        <w:br/>
      </w:r>
      <w:r w:rsidRPr="00404B27">
        <w:rPr>
          <w:rFonts w:ascii="Times New Roman" w:hAnsi="Times New Roman" w:cs="Times New Roman"/>
          <w:noProof/>
          <w:sz w:val="24"/>
          <w:szCs w:val="24"/>
        </w:rPr>
        <w:drawing>
          <wp:inline distT="0" distB="0" distL="0" distR="0" wp14:anchorId="7AF06AE0" wp14:editId="74410749">
            <wp:extent cx="5859901" cy="3685085"/>
            <wp:effectExtent l="0" t="0" r="7620" b="0"/>
            <wp:docPr id="1812620500"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62603" cy="3686784"/>
                    </a:xfrm>
                    <a:prstGeom prst="rect">
                      <a:avLst/>
                    </a:prstGeom>
                    <a:noFill/>
                    <a:ln>
                      <a:noFill/>
                    </a:ln>
                  </pic:spPr>
                </pic:pic>
              </a:graphicData>
            </a:graphic>
          </wp:inline>
        </w:drawing>
      </w:r>
    </w:p>
    <w:p w14:paraId="0B42E1B0" w14:textId="38F0E6B5" w:rsidR="0040421B" w:rsidRPr="00B72813" w:rsidRDefault="0040421B" w:rsidP="0040421B">
      <w:pPr>
        <w:spacing w:after="0" w:line="360" w:lineRule="auto"/>
        <w:jc w:val="center"/>
        <w:rPr>
          <w:rFonts w:ascii="Times New Roman" w:hAnsi="Times New Roman" w:cs="Times New Roman"/>
          <w:i/>
          <w:iCs/>
          <w:sz w:val="20"/>
          <w:szCs w:val="20"/>
        </w:rPr>
      </w:pPr>
      <w:bookmarkStart w:id="3" w:name="_Ref205291476"/>
      <w:r w:rsidRPr="00757103">
        <w:rPr>
          <w:rFonts w:ascii="Times New Roman" w:hAnsi="Times New Roman" w:cs="Times New Roman"/>
          <w:i/>
          <w:iCs/>
          <w:sz w:val="20"/>
          <w:szCs w:val="20"/>
        </w:rPr>
        <w:t xml:space="preserve">Figure </w:t>
      </w:r>
      <w:r w:rsidR="00CF38EC">
        <w:rPr>
          <w:rFonts w:ascii="Times New Roman" w:hAnsi="Times New Roman" w:cs="Times New Roman"/>
          <w:i/>
          <w:iCs/>
          <w:sz w:val="20"/>
          <w:szCs w:val="20"/>
        </w:rPr>
        <w:t>C</w:t>
      </w:r>
      <w:r w:rsidRPr="00757103">
        <w:rPr>
          <w:rFonts w:ascii="Times New Roman" w:hAnsi="Times New Roman" w:cs="Times New Roman"/>
          <w:i/>
          <w:iCs/>
          <w:sz w:val="20"/>
          <w:szCs w:val="20"/>
        </w:rPr>
        <w:fldChar w:fldCharType="begin"/>
      </w:r>
      <w:r w:rsidRPr="00757103">
        <w:rPr>
          <w:rFonts w:ascii="Times New Roman" w:hAnsi="Times New Roman" w:cs="Times New Roman"/>
          <w:i/>
          <w:iCs/>
          <w:sz w:val="20"/>
          <w:szCs w:val="20"/>
        </w:rPr>
        <w:instrText xml:space="preserve"> SEQ Figure \* ARABIC </w:instrText>
      </w:r>
      <w:r w:rsidRPr="00757103">
        <w:rPr>
          <w:rFonts w:ascii="Times New Roman" w:hAnsi="Times New Roman" w:cs="Times New Roman"/>
          <w:i/>
          <w:iCs/>
          <w:sz w:val="20"/>
          <w:szCs w:val="20"/>
        </w:rPr>
        <w:fldChar w:fldCharType="separate"/>
      </w:r>
      <w:r>
        <w:rPr>
          <w:rFonts w:ascii="Times New Roman" w:hAnsi="Times New Roman" w:cs="Times New Roman"/>
          <w:i/>
          <w:iCs/>
          <w:noProof/>
          <w:sz w:val="20"/>
          <w:szCs w:val="20"/>
        </w:rPr>
        <w:t>4</w:t>
      </w:r>
      <w:r w:rsidRPr="00757103">
        <w:rPr>
          <w:rFonts w:ascii="Times New Roman" w:hAnsi="Times New Roman" w:cs="Times New Roman"/>
          <w:i/>
          <w:iCs/>
          <w:sz w:val="20"/>
          <w:szCs w:val="20"/>
        </w:rPr>
        <w:fldChar w:fldCharType="end"/>
      </w:r>
      <w:bookmarkEnd w:id="3"/>
      <w:r w:rsidRPr="00757103">
        <w:rPr>
          <w:rFonts w:ascii="Times New Roman" w:hAnsi="Times New Roman" w:cs="Times New Roman"/>
          <w:i/>
          <w:iCs/>
          <w:sz w:val="20"/>
          <w:szCs w:val="20"/>
        </w:rPr>
        <w:t xml:space="preserve">: Final energy costs to GDP ratios over time for OECD economies.  Sources: Built by Igor Bashmakov based on data from refs. </w:t>
      </w:r>
      <w:sdt>
        <w:sdtPr>
          <w:rPr>
            <w:rFonts w:ascii="Times New Roman" w:hAnsi="Times New Roman" w:cs="Times New Roman"/>
            <w:i/>
            <w:iCs/>
            <w:color w:val="000000"/>
            <w:sz w:val="20"/>
            <w:szCs w:val="20"/>
          </w:rPr>
          <w:tag w:val="MENDELEY_CITATION_v3_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"/>
          <w:id w:val="-1986005082"/>
          <w:placeholder>
            <w:docPart w:val="7554F143D3DA47E29B02D5906BBA3D24"/>
          </w:placeholder>
        </w:sdtPr>
        <w:sdtEndPr/>
        <w:sdtContent>
          <w:r w:rsidRPr="00FB30B8">
            <w:rPr>
              <w:rFonts w:ascii="Times New Roman" w:hAnsi="Times New Roman" w:cs="Times New Roman"/>
              <w:i/>
              <w:iCs/>
              <w:color w:val="000000"/>
              <w:sz w:val="20"/>
              <w:szCs w:val="20"/>
            </w:rPr>
            <w:t>[82]</w:t>
          </w:r>
        </w:sdtContent>
      </w:sdt>
      <w:r w:rsidRPr="00757103">
        <w:rPr>
          <w:rFonts w:ascii="Times New Roman" w:hAnsi="Times New Roman" w:cs="Times New Roman"/>
          <w:i/>
          <w:iCs/>
          <w:sz w:val="20"/>
          <w:szCs w:val="20"/>
        </w:rPr>
        <w:t xml:space="preserve"> and extended by Igor Bashmakov; </w:t>
      </w:r>
      <w:hyperlink r:id="rId8" w:anchor="bib95" w:history="1">
        <w:r w:rsidRPr="00757103">
          <w:rPr>
            <w:rFonts w:ascii="Times New Roman" w:hAnsi="Times New Roman" w:cs="Times New Roman"/>
            <w:i/>
            <w:iCs/>
            <w:sz w:val="20"/>
            <w:szCs w:val="20"/>
          </w:rPr>
          <w:t>OECD (2020)</w:t>
        </w:r>
      </w:hyperlink>
      <w:r w:rsidRPr="00757103">
        <w:rPr>
          <w:rFonts w:ascii="Times New Roman" w:hAnsi="Times New Roman" w:cs="Times New Roman"/>
          <w:i/>
          <w:iCs/>
          <w:sz w:val="20"/>
          <w:szCs w:val="20"/>
        </w:rPr>
        <w:t xml:space="preserve"> and </w:t>
      </w:r>
      <w:hyperlink r:id="rId9" w:anchor="bib0053" w:history="1">
        <w:r w:rsidRPr="00757103">
          <w:rPr>
            <w:rFonts w:ascii="Times New Roman" w:hAnsi="Times New Roman" w:cs="Times New Roman"/>
            <w:i/>
            <w:iCs/>
            <w:sz w:val="20"/>
            <w:szCs w:val="20"/>
          </w:rPr>
          <w:t>IEA (2021b)</w:t>
        </w:r>
      </w:hyperlink>
      <w:r w:rsidRPr="00757103">
        <w:rPr>
          <w:rFonts w:ascii="Times New Roman" w:hAnsi="Times New Roman" w:cs="Times New Roman"/>
          <w:i/>
          <w:iCs/>
          <w:sz w:val="20"/>
          <w:szCs w:val="20"/>
        </w:rPr>
        <w:t>.</w:t>
      </w:r>
    </w:p>
    <w:p w14:paraId="1FD8E519" w14:textId="77777777" w:rsidR="0040421B" w:rsidRDefault="0040421B" w:rsidP="0040421B">
      <w:pPr>
        <w:spacing w:line="278" w:lineRule="auto"/>
        <w:jc w:val="center"/>
        <w:rPr>
          <w:rFonts w:eastAsia="Courier New" w:cs="Times New Roman"/>
          <w:sz w:val="24"/>
          <w:szCs w:val="32"/>
        </w:rPr>
      </w:pPr>
    </w:p>
    <w:p w14:paraId="33B05B72" w14:textId="77777777" w:rsidR="00156303" w:rsidRDefault="00156303"/>
    <w:sectPr w:rsidR="00156303">
      <w:pgSz w:w="12240" w:h="15840"/>
      <w:pgMar w:top="1417"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102E"/>
    <w:rsid w:val="000A1EB8"/>
    <w:rsid w:val="00156303"/>
    <w:rsid w:val="001925BE"/>
    <w:rsid w:val="0023703C"/>
    <w:rsid w:val="0040421B"/>
    <w:rsid w:val="00466F0F"/>
    <w:rsid w:val="00695153"/>
    <w:rsid w:val="007B1C9C"/>
    <w:rsid w:val="0081669E"/>
    <w:rsid w:val="009301E8"/>
    <w:rsid w:val="00B0102E"/>
    <w:rsid w:val="00B057DF"/>
    <w:rsid w:val="00BD630D"/>
    <w:rsid w:val="00BD7AFF"/>
    <w:rsid w:val="00CF38EC"/>
    <w:rsid w:val="00E62D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3221A9"/>
  <w15:chartTrackingRefBased/>
  <w15:docId w15:val="{CA17B3ED-2AF8-4248-9780-A39B5FB7F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421B"/>
    <w:pPr>
      <w:spacing w:line="259" w:lineRule="auto"/>
    </w:pPr>
    <w:rPr>
      <w:kern w:val="0"/>
      <w:sz w:val="22"/>
      <w:szCs w:val="22"/>
      <w14:ligatures w14:val="none"/>
    </w:rPr>
  </w:style>
  <w:style w:type="paragraph" w:styleId="Heading1">
    <w:name w:val="heading 1"/>
    <w:basedOn w:val="Normal"/>
    <w:next w:val="Normal"/>
    <w:link w:val="Heading1Char"/>
    <w:autoRedefine/>
    <w:uiPriority w:val="9"/>
    <w:qFormat/>
    <w:rsid w:val="0081669E"/>
    <w:pPr>
      <w:keepNext/>
      <w:keepLines/>
      <w:widowControl w:val="0"/>
      <w:autoSpaceDE w:val="0"/>
      <w:autoSpaceDN w:val="0"/>
      <w:spacing w:before="360" w:after="80" w:line="240" w:lineRule="auto"/>
      <w:outlineLvl w:val="0"/>
    </w:pPr>
    <w:rPr>
      <w:rFonts w:ascii="Times New Roman" w:eastAsiaTheme="majorEastAsia" w:hAnsi="Times New Roman" w:cstheme="majorBidi"/>
      <w:color w:val="000000" w:themeColor="text1"/>
      <w:sz w:val="32"/>
      <w:szCs w:val="40"/>
      <w:lang w:val="it-IT"/>
    </w:rPr>
  </w:style>
  <w:style w:type="paragraph" w:styleId="Heading2">
    <w:name w:val="heading 2"/>
    <w:basedOn w:val="Normal"/>
    <w:next w:val="Normal"/>
    <w:link w:val="Heading2Char"/>
    <w:uiPriority w:val="9"/>
    <w:semiHidden/>
    <w:unhideWhenUsed/>
    <w:qFormat/>
    <w:rsid w:val="00B0102E"/>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B0102E"/>
    <w:pPr>
      <w:keepNext/>
      <w:keepLines/>
      <w:spacing w:before="160" w:after="80" w:line="278" w:lineRule="auto"/>
      <w:outlineLvl w:val="2"/>
    </w:pPr>
    <w:rPr>
      <w:rFonts w:eastAsiaTheme="majorEastAsia"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B0102E"/>
    <w:pPr>
      <w:keepNext/>
      <w:keepLines/>
      <w:spacing w:before="80" w:after="40" w:line="278" w:lineRule="auto"/>
      <w:outlineLvl w:val="3"/>
    </w:pPr>
    <w:rPr>
      <w:rFonts w:eastAsiaTheme="majorEastAsia" w:cstheme="majorBidi"/>
      <w:i/>
      <w:iCs/>
      <w:color w:val="2F5496" w:themeColor="accent1" w:themeShade="BF"/>
      <w:kern w:val="2"/>
      <w:sz w:val="24"/>
      <w:szCs w:val="24"/>
      <w14:ligatures w14:val="standardContextual"/>
    </w:rPr>
  </w:style>
  <w:style w:type="paragraph" w:styleId="Heading5">
    <w:name w:val="heading 5"/>
    <w:basedOn w:val="Normal"/>
    <w:next w:val="Normal"/>
    <w:link w:val="Heading5Char"/>
    <w:uiPriority w:val="9"/>
    <w:semiHidden/>
    <w:unhideWhenUsed/>
    <w:qFormat/>
    <w:rsid w:val="00B0102E"/>
    <w:pPr>
      <w:keepNext/>
      <w:keepLines/>
      <w:spacing w:before="80" w:after="40" w:line="278" w:lineRule="auto"/>
      <w:outlineLvl w:val="4"/>
    </w:pPr>
    <w:rPr>
      <w:rFonts w:eastAsiaTheme="majorEastAsia" w:cstheme="majorBidi"/>
      <w:color w:val="2F5496" w:themeColor="accent1" w:themeShade="BF"/>
      <w:kern w:val="2"/>
      <w:sz w:val="24"/>
      <w:szCs w:val="24"/>
      <w14:ligatures w14:val="standardContextual"/>
    </w:rPr>
  </w:style>
  <w:style w:type="paragraph" w:styleId="Heading6">
    <w:name w:val="heading 6"/>
    <w:basedOn w:val="Normal"/>
    <w:next w:val="Normal"/>
    <w:link w:val="Heading6Char"/>
    <w:uiPriority w:val="9"/>
    <w:semiHidden/>
    <w:unhideWhenUsed/>
    <w:qFormat/>
    <w:rsid w:val="00B0102E"/>
    <w:pPr>
      <w:keepNext/>
      <w:keepLines/>
      <w:spacing w:before="40" w:after="0" w:line="278" w:lineRule="auto"/>
      <w:outlineLvl w:val="5"/>
    </w:pPr>
    <w:rPr>
      <w:rFonts w:eastAsiaTheme="majorEastAsia" w:cstheme="majorBidi"/>
      <w:i/>
      <w:iCs/>
      <w:color w:val="595959" w:themeColor="text1" w:themeTint="A6"/>
      <w:kern w:val="2"/>
      <w:sz w:val="24"/>
      <w:szCs w:val="24"/>
      <w14:ligatures w14:val="standardContextual"/>
    </w:rPr>
  </w:style>
  <w:style w:type="paragraph" w:styleId="Heading7">
    <w:name w:val="heading 7"/>
    <w:basedOn w:val="Normal"/>
    <w:next w:val="Normal"/>
    <w:link w:val="Heading7Char"/>
    <w:uiPriority w:val="9"/>
    <w:semiHidden/>
    <w:unhideWhenUsed/>
    <w:qFormat/>
    <w:rsid w:val="00B0102E"/>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paragraph" w:styleId="Heading8">
    <w:name w:val="heading 8"/>
    <w:basedOn w:val="Normal"/>
    <w:next w:val="Normal"/>
    <w:link w:val="Heading8Char"/>
    <w:uiPriority w:val="9"/>
    <w:semiHidden/>
    <w:unhideWhenUsed/>
    <w:qFormat/>
    <w:rsid w:val="00B0102E"/>
    <w:pPr>
      <w:keepNext/>
      <w:keepLines/>
      <w:spacing w:after="0" w:line="278" w:lineRule="auto"/>
      <w:outlineLvl w:val="7"/>
    </w:pPr>
    <w:rPr>
      <w:rFonts w:eastAsiaTheme="majorEastAsia" w:cstheme="majorBidi"/>
      <w:i/>
      <w:iCs/>
      <w:color w:val="272727" w:themeColor="text1" w:themeTint="D8"/>
      <w:kern w:val="2"/>
      <w:sz w:val="24"/>
      <w:szCs w:val="24"/>
      <w14:ligatures w14:val="standardContextual"/>
    </w:rPr>
  </w:style>
  <w:style w:type="paragraph" w:styleId="Heading9">
    <w:name w:val="heading 9"/>
    <w:basedOn w:val="Normal"/>
    <w:next w:val="Normal"/>
    <w:link w:val="Heading9Char"/>
    <w:uiPriority w:val="9"/>
    <w:semiHidden/>
    <w:unhideWhenUsed/>
    <w:qFormat/>
    <w:rsid w:val="00B0102E"/>
    <w:pPr>
      <w:keepNext/>
      <w:keepLines/>
      <w:spacing w:after="0" w:line="278" w:lineRule="auto"/>
      <w:outlineLvl w:val="8"/>
    </w:pPr>
    <w:rPr>
      <w:rFonts w:eastAsiaTheme="majorEastAsia" w:cstheme="majorBidi"/>
      <w:color w:val="272727" w:themeColor="text1" w:themeTint="D8"/>
      <w:kern w:val="2"/>
      <w:sz w:val="24"/>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669E"/>
    <w:rPr>
      <w:rFonts w:ascii="Times New Roman" w:eastAsiaTheme="majorEastAsia" w:hAnsi="Times New Roman" w:cstheme="majorBidi"/>
      <w:color w:val="000000" w:themeColor="text1"/>
      <w:kern w:val="0"/>
      <w:sz w:val="32"/>
      <w:szCs w:val="40"/>
      <w:lang w:val="it-IT"/>
      <w14:ligatures w14:val="none"/>
    </w:rPr>
  </w:style>
  <w:style w:type="character" w:customStyle="1" w:styleId="Heading2Char">
    <w:name w:val="Heading 2 Char"/>
    <w:basedOn w:val="DefaultParagraphFont"/>
    <w:link w:val="Heading2"/>
    <w:uiPriority w:val="9"/>
    <w:semiHidden/>
    <w:rsid w:val="00B0102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0102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0102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0102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0102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0102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0102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0102E"/>
    <w:rPr>
      <w:rFonts w:eastAsiaTheme="majorEastAsia" w:cstheme="majorBidi"/>
      <w:color w:val="272727" w:themeColor="text1" w:themeTint="D8"/>
    </w:rPr>
  </w:style>
  <w:style w:type="paragraph" w:styleId="Title">
    <w:name w:val="Title"/>
    <w:basedOn w:val="Normal"/>
    <w:next w:val="Normal"/>
    <w:link w:val="TitleChar"/>
    <w:uiPriority w:val="10"/>
    <w:qFormat/>
    <w:rsid w:val="00B0102E"/>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B0102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0102E"/>
    <w:pPr>
      <w:numPr>
        <w:ilvl w:val="1"/>
      </w:numPr>
      <w:spacing w:line="278"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B0102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0102E"/>
    <w:pPr>
      <w:spacing w:before="160" w:line="278" w:lineRule="auto"/>
      <w:jc w:val="center"/>
    </w:pPr>
    <w:rPr>
      <w:i/>
      <w:iCs/>
      <w:color w:val="404040" w:themeColor="text1" w:themeTint="BF"/>
      <w:kern w:val="2"/>
      <w:sz w:val="24"/>
      <w:szCs w:val="24"/>
      <w14:ligatures w14:val="standardContextual"/>
    </w:rPr>
  </w:style>
  <w:style w:type="character" w:customStyle="1" w:styleId="QuoteChar">
    <w:name w:val="Quote Char"/>
    <w:basedOn w:val="DefaultParagraphFont"/>
    <w:link w:val="Quote"/>
    <w:uiPriority w:val="29"/>
    <w:rsid w:val="00B0102E"/>
    <w:rPr>
      <w:i/>
      <w:iCs/>
      <w:color w:val="404040" w:themeColor="text1" w:themeTint="BF"/>
    </w:rPr>
  </w:style>
  <w:style w:type="paragraph" w:styleId="ListParagraph">
    <w:name w:val="List Paragraph"/>
    <w:basedOn w:val="Normal"/>
    <w:uiPriority w:val="34"/>
    <w:qFormat/>
    <w:rsid w:val="00B0102E"/>
    <w:pPr>
      <w:spacing w:line="278" w:lineRule="auto"/>
      <w:ind w:left="720"/>
      <w:contextualSpacing/>
    </w:pPr>
    <w:rPr>
      <w:kern w:val="2"/>
      <w:sz w:val="24"/>
      <w:szCs w:val="24"/>
      <w14:ligatures w14:val="standardContextual"/>
    </w:rPr>
  </w:style>
  <w:style w:type="character" w:styleId="IntenseEmphasis">
    <w:name w:val="Intense Emphasis"/>
    <w:basedOn w:val="DefaultParagraphFont"/>
    <w:uiPriority w:val="21"/>
    <w:qFormat/>
    <w:rsid w:val="00B0102E"/>
    <w:rPr>
      <w:i/>
      <w:iCs/>
      <w:color w:val="2F5496" w:themeColor="accent1" w:themeShade="BF"/>
    </w:rPr>
  </w:style>
  <w:style w:type="paragraph" w:styleId="IntenseQuote">
    <w:name w:val="Intense Quote"/>
    <w:basedOn w:val="Normal"/>
    <w:next w:val="Normal"/>
    <w:link w:val="IntenseQuoteChar"/>
    <w:uiPriority w:val="30"/>
    <w:qFormat/>
    <w:rsid w:val="00B0102E"/>
    <w:pPr>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kern w:val="2"/>
      <w:sz w:val="24"/>
      <w:szCs w:val="24"/>
      <w14:ligatures w14:val="standardContextual"/>
    </w:rPr>
  </w:style>
  <w:style w:type="character" w:customStyle="1" w:styleId="IntenseQuoteChar">
    <w:name w:val="Intense Quote Char"/>
    <w:basedOn w:val="DefaultParagraphFont"/>
    <w:link w:val="IntenseQuote"/>
    <w:uiPriority w:val="30"/>
    <w:rsid w:val="00B0102E"/>
    <w:rPr>
      <w:i/>
      <w:iCs/>
      <w:color w:val="2F5496" w:themeColor="accent1" w:themeShade="BF"/>
    </w:rPr>
  </w:style>
  <w:style w:type="character" w:styleId="IntenseReference">
    <w:name w:val="Intense Reference"/>
    <w:basedOn w:val="DefaultParagraphFont"/>
    <w:uiPriority w:val="32"/>
    <w:qFormat/>
    <w:rsid w:val="00B0102E"/>
    <w:rPr>
      <w:b/>
      <w:bCs/>
      <w:smallCaps/>
      <w:color w:val="2F5496" w:themeColor="accent1" w:themeShade="BF"/>
      <w:spacing w:val="5"/>
    </w:rPr>
  </w:style>
  <w:style w:type="paragraph" w:styleId="Caption">
    <w:name w:val="caption"/>
    <w:basedOn w:val="Normal"/>
    <w:next w:val="Normal"/>
    <w:uiPriority w:val="35"/>
    <w:unhideWhenUsed/>
    <w:qFormat/>
    <w:rsid w:val="0040421B"/>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ciencedirect.com/science/article/pii/S0954349X24000948" TargetMode="Externa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glossaryDocument" Target="glossary/document.xml"/><Relationship Id="rId5" Type="http://schemas.openxmlformats.org/officeDocument/2006/relationships/image" Target="media/image2.emf"/><Relationship Id="rId10" Type="http://schemas.openxmlformats.org/officeDocument/2006/relationships/fontTable" Target="fontTable.xml"/><Relationship Id="rId4" Type="http://schemas.openxmlformats.org/officeDocument/2006/relationships/image" Target="media/image1.emf"/><Relationship Id="rId9" Type="http://schemas.openxmlformats.org/officeDocument/2006/relationships/hyperlink" Target="https://www.sciencedirect.com/science/article/pii/S0954349X24000948"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554F143D3DA47E29B02D5906BBA3D24"/>
        <w:category>
          <w:name w:val="General"/>
          <w:gallery w:val="placeholder"/>
        </w:category>
        <w:types>
          <w:type w:val="bbPlcHdr"/>
        </w:types>
        <w:behaviors>
          <w:behavior w:val="content"/>
        </w:behaviors>
        <w:guid w:val="{E5C162B0-B283-4A9F-B453-BF2C043D4FBD}"/>
      </w:docPartPr>
      <w:docPartBody>
        <w:p w:rsidR="00A47693" w:rsidRDefault="00A47693" w:rsidP="00A47693">
          <w:pPr>
            <w:pStyle w:val="7554F143D3DA47E29B02D5906BBA3D24"/>
          </w:pPr>
          <w:r w:rsidRPr="002F1AB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7693"/>
    <w:rsid w:val="00695153"/>
    <w:rsid w:val="009301E8"/>
    <w:rsid w:val="00A476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47693"/>
    <w:rPr>
      <w:color w:val="666666"/>
    </w:rPr>
  </w:style>
  <w:style w:type="paragraph" w:customStyle="1" w:styleId="7554F143D3DA47E29B02D5906BBA3D24">
    <w:name w:val="7554F143D3DA47E29B02D5906BBA3D24"/>
    <w:rsid w:val="00A476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324</Words>
  <Characters>1850</Characters>
  <Application>Microsoft Office Word</Application>
  <DocSecurity>0</DocSecurity>
  <Lines>15</Lines>
  <Paragraphs>4</Paragraphs>
  <ScaleCrop>false</ScaleCrop>
  <Company/>
  <LinksUpToDate>false</LinksUpToDate>
  <CharactersWithSpaces>2170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Armando Di Meglio</dc:creator>
  <cp:keywords/>
  <dc:description/>
  <cp:lastModifiedBy>Armando Di Meglio</cp:lastModifiedBy>
  <cp:revision>7</cp:revision>
  <dcterms:created xsi:type="dcterms:W3CDTF">2025-11-29T20:13:00Z</dcterms:created>
  <dcterms:modified xsi:type="dcterms:W3CDTF">2026-02-01T10:51:00Z</dcterms:modified>
</cp:coreProperties>
</file>