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BD24D84" w14:textId="2C32EE2C" w:rsidR="00531F91" w:rsidRPr="00531F91" w:rsidRDefault="00531F91" w:rsidP="00531F91">
      <w:pPr>
        <w:spacing w:line="360" w:lineRule="auto"/>
        <w:jc w:val="center"/>
        <w:rPr>
          <w:rFonts w:ascii="Times New Roman" w:hAnsi="Times New Roman" w:cs="Times New Roman"/>
          <w:b/>
          <w:bCs/>
          <w:sz w:val="28"/>
          <w:szCs w:val="28"/>
          <w:lang w:val="en-US"/>
        </w:rPr>
      </w:pPr>
      <w:r w:rsidRPr="00531F91">
        <w:rPr>
          <w:rFonts w:ascii="Times New Roman" w:hAnsi="Times New Roman" w:cs="Times New Roman"/>
          <w:b/>
          <w:bCs/>
          <w:sz w:val="28"/>
          <w:szCs w:val="28"/>
          <w:lang w:val="en-US"/>
        </w:rPr>
        <w:t>Appendix D</w:t>
      </w:r>
    </w:p>
    <w:p w14:paraId="669F83A5" w14:textId="7DF49F82" w:rsidR="002A555C" w:rsidRPr="005C7F44" w:rsidRDefault="00E97111" w:rsidP="005C7F44">
      <w:pPr>
        <w:keepNext/>
        <w:spacing w:line="360" w:lineRule="auto"/>
        <w:jc w:val="center"/>
        <w:rPr>
          <w:rFonts w:ascii="Times New Roman" w:hAnsi="Times New Roman" w:cs="Times New Roman"/>
          <w:sz w:val="20"/>
          <w:szCs w:val="20"/>
        </w:rPr>
      </w:pPr>
      <w:r w:rsidRPr="005C7F44">
        <w:rPr>
          <w:rFonts w:ascii="Times New Roman" w:hAnsi="Times New Roman" w:cs="Times New Roman"/>
          <w:noProof/>
          <w:sz w:val="20"/>
          <w:szCs w:val="20"/>
        </w:rPr>
        <w:drawing>
          <wp:inline distT="0" distB="0" distL="0" distR="0" wp14:anchorId="0985D5FD" wp14:editId="4869FA5C">
            <wp:extent cx="5967457" cy="3244850"/>
            <wp:effectExtent l="0" t="0" r="0" b="0"/>
            <wp:docPr id="1748107808" name="Immagin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 rotWithShape="1"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744" r="765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2948" cy="32478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1DF0AB9" w14:textId="0ABA8387" w:rsidR="002D596F" w:rsidRPr="005C7F44" w:rsidRDefault="005C7F44" w:rsidP="005C7F44">
      <w:pPr>
        <w:pStyle w:val="Caption"/>
        <w:spacing w:line="360" w:lineRule="auto"/>
        <w:jc w:val="center"/>
        <w:rPr>
          <w:rFonts w:ascii="Times New Roman" w:hAnsi="Times New Roman" w:cs="Times New Roman"/>
          <w:color w:val="auto"/>
          <w:sz w:val="20"/>
          <w:szCs w:val="20"/>
          <w:lang w:val="en-US"/>
        </w:rPr>
      </w:pPr>
      <w:r>
        <w:rPr>
          <w:rFonts w:ascii="Times New Roman" w:hAnsi="Times New Roman" w:cs="Times New Roman"/>
          <w:color w:val="auto"/>
          <w:sz w:val="20"/>
          <w:szCs w:val="20"/>
          <w:lang w:val="en-US"/>
        </w:rPr>
        <w:t>Figure</w:t>
      </w:r>
      <w:r w:rsidR="002A555C" w:rsidRPr="005C7F44">
        <w:rPr>
          <w:rFonts w:ascii="Times New Roman" w:hAnsi="Times New Roman" w:cs="Times New Roman"/>
          <w:color w:val="auto"/>
          <w:sz w:val="20"/>
          <w:szCs w:val="20"/>
          <w:lang w:val="en-US"/>
        </w:rPr>
        <w:t xml:space="preserve"> </w:t>
      </w:r>
      <w:r w:rsidR="008A7BF2">
        <w:rPr>
          <w:rFonts w:ascii="Times New Roman" w:hAnsi="Times New Roman" w:cs="Times New Roman"/>
          <w:color w:val="auto"/>
          <w:sz w:val="20"/>
          <w:szCs w:val="20"/>
          <w:lang w:val="en-US"/>
        </w:rPr>
        <w:t>D</w:t>
      </w:r>
      <w:r w:rsidR="002A555C" w:rsidRPr="005C7F44">
        <w:rPr>
          <w:rFonts w:ascii="Times New Roman" w:hAnsi="Times New Roman" w:cs="Times New Roman"/>
          <w:color w:val="auto"/>
          <w:sz w:val="20"/>
          <w:szCs w:val="20"/>
          <w:lang w:val="en-US"/>
        </w:rPr>
        <w:fldChar w:fldCharType="begin"/>
      </w:r>
      <w:r w:rsidR="002A555C" w:rsidRPr="005C7F44">
        <w:rPr>
          <w:rFonts w:ascii="Times New Roman" w:hAnsi="Times New Roman" w:cs="Times New Roman"/>
          <w:color w:val="auto"/>
          <w:sz w:val="20"/>
          <w:szCs w:val="20"/>
          <w:lang w:val="en-US"/>
        </w:rPr>
        <w:instrText xml:space="preserve"> SEQ Figura \* ARABIC </w:instrText>
      </w:r>
      <w:r w:rsidR="002A555C" w:rsidRPr="005C7F44">
        <w:rPr>
          <w:rFonts w:ascii="Times New Roman" w:hAnsi="Times New Roman" w:cs="Times New Roman"/>
          <w:color w:val="auto"/>
          <w:sz w:val="20"/>
          <w:szCs w:val="20"/>
          <w:lang w:val="en-US"/>
        </w:rPr>
        <w:fldChar w:fldCharType="separate"/>
      </w:r>
      <w:r w:rsidR="002A555C" w:rsidRPr="005C7F44">
        <w:rPr>
          <w:rFonts w:ascii="Times New Roman" w:hAnsi="Times New Roman" w:cs="Times New Roman"/>
          <w:noProof/>
          <w:color w:val="auto"/>
          <w:sz w:val="20"/>
          <w:szCs w:val="20"/>
          <w:lang w:val="en-US"/>
        </w:rPr>
        <w:t>1</w:t>
      </w:r>
      <w:r w:rsidR="002A555C" w:rsidRPr="005C7F44">
        <w:rPr>
          <w:rFonts w:ascii="Times New Roman" w:hAnsi="Times New Roman" w:cs="Times New Roman"/>
          <w:color w:val="auto"/>
          <w:sz w:val="20"/>
          <w:szCs w:val="20"/>
          <w:lang w:val="en-US"/>
        </w:rPr>
        <w:fldChar w:fldCharType="end"/>
      </w:r>
      <w:r w:rsidR="002A555C" w:rsidRPr="005C7F44">
        <w:rPr>
          <w:rFonts w:ascii="Times New Roman" w:hAnsi="Times New Roman" w:cs="Times New Roman"/>
          <w:color w:val="auto"/>
          <w:sz w:val="20"/>
          <w:szCs w:val="20"/>
          <w:lang w:val="en-US"/>
        </w:rPr>
        <w:t xml:space="preserve">: Residential PV sector, without ESS, under 2024 MSP long term analysis. Normalized thermo-economic efficiency index </w:t>
      </w:r>
      <m:oMath>
        <m:sSub>
          <m:sSubPr>
            <m:ctrlPr>
              <w:rPr>
                <w:rFonts w:ascii="Cambria Math" w:hAnsi="Cambria Math" w:cs="Times New Roman"/>
                <w:color w:val="auto"/>
                <w:sz w:val="20"/>
                <w:szCs w:val="20"/>
              </w:rPr>
            </m:ctrlPr>
          </m:sSubPr>
          <m:e>
            <m:r>
              <w:rPr>
                <w:rFonts w:ascii="Cambria Math" w:hAnsi="Cambria Math" w:cs="Times New Roman"/>
                <w:color w:val="auto"/>
                <w:sz w:val="20"/>
                <w:szCs w:val="20"/>
                <w:lang w:val="en-US"/>
              </w:rPr>
              <m:t xml:space="preserve"> </m:t>
            </m:r>
            <m:r>
              <w:rPr>
                <w:rFonts w:ascii="Cambria Math" w:hAnsi="Cambria Math" w:cs="Times New Roman"/>
                <w:color w:val="auto"/>
                <w:sz w:val="20"/>
                <w:szCs w:val="20"/>
              </w:rPr>
              <m:t>η</m:t>
            </m:r>
          </m:e>
          <m:sub>
            <m:r>
              <w:rPr>
                <w:rFonts w:ascii="Cambria Math" w:hAnsi="Cambria Math" w:cs="Times New Roman"/>
                <w:color w:val="auto"/>
                <w:sz w:val="20"/>
                <w:szCs w:val="20"/>
              </w:rPr>
              <m:t>n</m:t>
            </m:r>
          </m:sub>
        </m:sSub>
      </m:oMath>
      <w:r w:rsidR="002A555C" w:rsidRPr="005C7F44">
        <w:rPr>
          <w:rFonts w:ascii="Times New Roman" w:hAnsi="Times New Roman" w:cs="Times New Roman"/>
          <w:color w:val="auto"/>
          <w:sz w:val="20"/>
          <w:szCs w:val="20"/>
          <w:lang w:val="en-US"/>
        </w:rPr>
        <w:t>, as a function of the unit cost, for conventional and augmented booster reflector collector arrangement.</w:t>
      </w:r>
    </w:p>
    <w:p w14:paraId="617D2EAF" w14:textId="77777777" w:rsidR="002A555C" w:rsidRPr="005C7F44" w:rsidRDefault="001909ED" w:rsidP="005C7F44">
      <w:pPr>
        <w:keepNext/>
        <w:spacing w:line="360" w:lineRule="auto"/>
        <w:jc w:val="center"/>
        <w:rPr>
          <w:rFonts w:ascii="Times New Roman" w:hAnsi="Times New Roman" w:cs="Times New Roman"/>
          <w:sz w:val="20"/>
          <w:szCs w:val="20"/>
        </w:rPr>
      </w:pPr>
      <w:r w:rsidRPr="005C7F44">
        <w:rPr>
          <w:rFonts w:ascii="Times New Roman" w:hAnsi="Times New Roman" w:cs="Times New Roman"/>
          <w:noProof/>
          <w:sz w:val="20"/>
          <w:szCs w:val="20"/>
        </w:rPr>
        <w:drawing>
          <wp:inline distT="0" distB="0" distL="0" distR="0" wp14:anchorId="71E4AB3A" wp14:editId="59E75029">
            <wp:extent cx="5997677" cy="3252249"/>
            <wp:effectExtent l="0" t="0" r="3175" b="5715"/>
            <wp:docPr id="2002387147" name="Immagin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 rotWithShape="1"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367" r="693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45388" cy="3278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D123D36" w14:textId="30548153" w:rsidR="00B73C37" w:rsidRPr="005C7F44" w:rsidRDefault="005C7F44" w:rsidP="005C7F44">
      <w:pPr>
        <w:pStyle w:val="Caption"/>
        <w:spacing w:line="360" w:lineRule="auto"/>
        <w:jc w:val="center"/>
        <w:rPr>
          <w:rFonts w:ascii="Times New Roman" w:hAnsi="Times New Roman" w:cs="Times New Roman"/>
          <w:color w:val="auto"/>
          <w:sz w:val="20"/>
          <w:szCs w:val="20"/>
          <w:lang w:val="en-US"/>
        </w:rPr>
      </w:pPr>
      <w:r>
        <w:rPr>
          <w:rFonts w:ascii="Times New Roman" w:hAnsi="Times New Roman" w:cs="Times New Roman"/>
          <w:color w:val="auto"/>
          <w:sz w:val="20"/>
          <w:szCs w:val="20"/>
          <w:lang w:val="en-US"/>
        </w:rPr>
        <w:t>Figure</w:t>
      </w:r>
      <w:r w:rsidR="002A555C" w:rsidRPr="005C7F44">
        <w:rPr>
          <w:rFonts w:ascii="Times New Roman" w:hAnsi="Times New Roman" w:cs="Times New Roman"/>
          <w:color w:val="auto"/>
          <w:sz w:val="20"/>
          <w:szCs w:val="20"/>
          <w:lang w:val="en-US"/>
        </w:rPr>
        <w:t xml:space="preserve"> </w:t>
      </w:r>
      <w:r w:rsidR="008A7BF2">
        <w:rPr>
          <w:rFonts w:ascii="Times New Roman" w:hAnsi="Times New Roman" w:cs="Times New Roman"/>
          <w:color w:val="auto"/>
          <w:sz w:val="20"/>
          <w:szCs w:val="20"/>
          <w:lang w:val="en-US"/>
        </w:rPr>
        <w:t>D</w:t>
      </w:r>
      <w:r w:rsidR="002A555C" w:rsidRPr="005C7F44">
        <w:rPr>
          <w:rFonts w:ascii="Times New Roman" w:hAnsi="Times New Roman" w:cs="Times New Roman"/>
          <w:color w:val="auto"/>
          <w:sz w:val="20"/>
          <w:szCs w:val="20"/>
        </w:rPr>
        <w:fldChar w:fldCharType="begin"/>
      </w:r>
      <w:r w:rsidR="002A555C" w:rsidRPr="005C7F44">
        <w:rPr>
          <w:rFonts w:ascii="Times New Roman" w:hAnsi="Times New Roman" w:cs="Times New Roman"/>
          <w:color w:val="auto"/>
          <w:sz w:val="20"/>
          <w:szCs w:val="20"/>
          <w:lang w:val="en-US"/>
        </w:rPr>
        <w:instrText xml:space="preserve"> SEQ Figura \* ARABIC </w:instrText>
      </w:r>
      <w:r w:rsidR="002A555C" w:rsidRPr="005C7F44">
        <w:rPr>
          <w:rFonts w:ascii="Times New Roman" w:hAnsi="Times New Roman" w:cs="Times New Roman"/>
          <w:color w:val="auto"/>
          <w:sz w:val="20"/>
          <w:szCs w:val="20"/>
        </w:rPr>
        <w:fldChar w:fldCharType="separate"/>
      </w:r>
      <w:r w:rsidR="002A555C" w:rsidRPr="005C7F44">
        <w:rPr>
          <w:rFonts w:ascii="Times New Roman" w:hAnsi="Times New Roman" w:cs="Times New Roman"/>
          <w:noProof/>
          <w:color w:val="auto"/>
          <w:sz w:val="20"/>
          <w:szCs w:val="20"/>
          <w:lang w:val="en-US"/>
        </w:rPr>
        <w:t>2</w:t>
      </w:r>
      <w:r w:rsidR="002A555C" w:rsidRPr="005C7F44">
        <w:rPr>
          <w:rFonts w:ascii="Times New Roman" w:hAnsi="Times New Roman" w:cs="Times New Roman"/>
          <w:color w:val="auto"/>
          <w:sz w:val="20"/>
          <w:szCs w:val="20"/>
        </w:rPr>
        <w:fldChar w:fldCharType="end"/>
      </w:r>
      <w:r w:rsidR="002A555C" w:rsidRPr="005C7F44">
        <w:rPr>
          <w:rFonts w:ascii="Times New Roman" w:hAnsi="Times New Roman" w:cs="Times New Roman"/>
          <w:color w:val="auto"/>
          <w:sz w:val="20"/>
          <w:szCs w:val="20"/>
          <w:lang w:val="en-US"/>
        </w:rPr>
        <w:t>:</w:t>
      </w:r>
      <w:r w:rsidR="00A36C02" w:rsidRPr="005C7F44">
        <w:rPr>
          <w:rFonts w:ascii="Times New Roman" w:hAnsi="Times New Roman" w:cs="Times New Roman"/>
          <w:color w:val="auto"/>
          <w:sz w:val="20"/>
          <w:szCs w:val="20"/>
          <w:lang w:val="en-US"/>
        </w:rPr>
        <w:t xml:space="preserve"> Residential PV sector, with ESS, under 2024 MSP long term analysis. Normalized thermo-economic efficiency index </w:t>
      </w:r>
      <m:oMath>
        <m:sSub>
          <m:sSubPr>
            <m:ctrlPr>
              <w:rPr>
                <w:rFonts w:ascii="Cambria Math" w:hAnsi="Cambria Math" w:cs="Times New Roman"/>
                <w:color w:val="auto"/>
                <w:sz w:val="20"/>
                <w:szCs w:val="20"/>
              </w:rPr>
            </m:ctrlPr>
          </m:sSubPr>
          <m:e>
            <m:r>
              <w:rPr>
                <w:rFonts w:ascii="Cambria Math" w:hAnsi="Cambria Math" w:cs="Times New Roman"/>
                <w:color w:val="auto"/>
                <w:sz w:val="20"/>
                <w:szCs w:val="20"/>
                <w:lang w:val="en-US"/>
              </w:rPr>
              <m:t xml:space="preserve"> </m:t>
            </m:r>
            <m:r>
              <w:rPr>
                <w:rFonts w:ascii="Cambria Math" w:hAnsi="Cambria Math" w:cs="Times New Roman"/>
                <w:color w:val="auto"/>
                <w:sz w:val="20"/>
                <w:szCs w:val="20"/>
              </w:rPr>
              <m:t>η</m:t>
            </m:r>
          </m:e>
          <m:sub>
            <m:r>
              <w:rPr>
                <w:rFonts w:ascii="Cambria Math" w:hAnsi="Cambria Math" w:cs="Times New Roman"/>
                <w:color w:val="auto"/>
                <w:sz w:val="20"/>
                <w:szCs w:val="20"/>
              </w:rPr>
              <m:t>n</m:t>
            </m:r>
          </m:sub>
        </m:sSub>
      </m:oMath>
      <w:r w:rsidR="00A36C02" w:rsidRPr="005C7F44">
        <w:rPr>
          <w:rFonts w:ascii="Times New Roman" w:hAnsi="Times New Roman" w:cs="Times New Roman"/>
          <w:color w:val="auto"/>
          <w:sz w:val="20"/>
          <w:szCs w:val="20"/>
          <w:lang w:val="en-US"/>
        </w:rPr>
        <w:t>, as a function of the unit cost, for conventional and augmented booster reflector collector arrangement.</w:t>
      </w:r>
    </w:p>
    <w:p w14:paraId="3AA60F12" w14:textId="77777777" w:rsidR="00684BF5" w:rsidRPr="005C7F44" w:rsidRDefault="00684BF5" w:rsidP="005C7F44">
      <w:pPr>
        <w:spacing w:line="360" w:lineRule="auto"/>
        <w:jc w:val="center"/>
        <w:rPr>
          <w:rFonts w:ascii="Times New Roman" w:hAnsi="Times New Roman" w:cs="Times New Roman"/>
          <w:sz w:val="20"/>
          <w:szCs w:val="20"/>
          <w:lang w:val="en-US"/>
        </w:rPr>
      </w:pPr>
    </w:p>
    <w:p w14:paraId="00CADA35" w14:textId="77777777" w:rsidR="002A555C" w:rsidRPr="005C7F44" w:rsidRDefault="006961BE" w:rsidP="005C7F44">
      <w:pPr>
        <w:keepNext/>
        <w:spacing w:line="360" w:lineRule="auto"/>
        <w:jc w:val="center"/>
        <w:rPr>
          <w:rFonts w:ascii="Times New Roman" w:hAnsi="Times New Roman" w:cs="Times New Roman"/>
          <w:sz w:val="20"/>
          <w:szCs w:val="20"/>
        </w:rPr>
      </w:pPr>
      <w:r w:rsidRPr="005C7F44">
        <w:rPr>
          <w:rFonts w:ascii="Times New Roman" w:hAnsi="Times New Roman" w:cs="Times New Roman"/>
          <w:noProof/>
          <w:sz w:val="20"/>
          <w:szCs w:val="20"/>
        </w:rPr>
        <w:lastRenderedPageBreak/>
        <w:drawing>
          <wp:inline distT="0" distB="0" distL="0" distR="0" wp14:anchorId="3A5B95B4" wp14:editId="0EFDC654">
            <wp:extent cx="6101938" cy="3359426"/>
            <wp:effectExtent l="0" t="0" r="0" b="0"/>
            <wp:docPr id="1306929967" name="Immagin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 rotWithShape="1"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367" r="786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2750" cy="33653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EEA681B" w14:textId="4698696C" w:rsidR="007C0DD5" w:rsidRPr="005C7F44" w:rsidRDefault="005C7F44" w:rsidP="005C7F44">
      <w:pPr>
        <w:spacing w:after="0" w:line="360" w:lineRule="auto"/>
        <w:jc w:val="center"/>
        <w:rPr>
          <w:rFonts w:ascii="Times New Roman" w:hAnsi="Times New Roman" w:cs="Times New Roman"/>
          <w:i/>
          <w:iCs/>
          <w:sz w:val="20"/>
          <w:szCs w:val="20"/>
          <w:lang w:val="en-US"/>
        </w:rPr>
      </w:pPr>
      <w:r>
        <w:rPr>
          <w:rFonts w:ascii="Times New Roman" w:hAnsi="Times New Roman" w:cs="Times New Roman"/>
          <w:sz w:val="20"/>
          <w:szCs w:val="20"/>
          <w:lang w:val="en-US"/>
        </w:rPr>
        <w:t>Figure</w:t>
      </w:r>
      <w:r w:rsidR="002A555C" w:rsidRPr="005C7F44">
        <w:rPr>
          <w:rFonts w:ascii="Times New Roman" w:hAnsi="Times New Roman" w:cs="Times New Roman"/>
          <w:sz w:val="20"/>
          <w:szCs w:val="20"/>
          <w:lang w:val="en-US"/>
        </w:rPr>
        <w:t xml:space="preserve"> </w:t>
      </w:r>
      <w:r w:rsidR="008A7BF2">
        <w:rPr>
          <w:rFonts w:ascii="Times New Roman" w:hAnsi="Times New Roman" w:cs="Times New Roman"/>
          <w:sz w:val="20"/>
          <w:szCs w:val="20"/>
          <w:lang w:val="en-US"/>
        </w:rPr>
        <w:t>D</w:t>
      </w:r>
      <w:r w:rsidR="002A555C" w:rsidRPr="005C7F44">
        <w:rPr>
          <w:rFonts w:ascii="Times New Roman" w:hAnsi="Times New Roman" w:cs="Times New Roman"/>
          <w:sz w:val="20"/>
          <w:szCs w:val="20"/>
        </w:rPr>
        <w:fldChar w:fldCharType="begin"/>
      </w:r>
      <w:r w:rsidR="002A555C" w:rsidRPr="005C7F44">
        <w:rPr>
          <w:rFonts w:ascii="Times New Roman" w:hAnsi="Times New Roman" w:cs="Times New Roman"/>
          <w:sz w:val="20"/>
          <w:szCs w:val="20"/>
          <w:lang w:val="en-US"/>
        </w:rPr>
        <w:instrText xml:space="preserve"> SEQ Figura \* ARABIC </w:instrText>
      </w:r>
      <w:r w:rsidR="002A555C" w:rsidRPr="005C7F44">
        <w:rPr>
          <w:rFonts w:ascii="Times New Roman" w:hAnsi="Times New Roman" w:cs="Times New Roman"/>
          <w:sz w:val="20"/>
          <w:szCs w:val="20"/>
        </w:rPr>
        <w:fldChar w:fldCharType="separate"/>
      </w:r>
      <w:r w:rsidR="002A555C" w:rsidRPr="005C7F44">
        <w:rPr>
          <w:rFonts w:ascii="Times New Roman" w:hAnsi="Times New Roman" w:cs="Times New Roman"/>
          <w:noProof/>
          <w:sz w:val="20"/>
          <w:szCs w:val="20"/>
          <w:lang w:val="en-US"/>
        </w:rPr>
        <w:t>3</w:t>
      </w:r>
      <w:r w:rsidR="002A555C" w:rsidRPr="005C7F44">
        <w:rPr>
          <w:rFonts w:ascii="Times New Roman" w:hAnsi="Times New Roman" w:cs="Times New Roman"/>
          <w:sz w:val="20"/>
          <w:szCs w:val="20"/>
        </w:rPr>
        <w:fldChar w:fldCharType="end"/>
      </w:r>
      <w:r w:rsidR="002A555C" w:rsidRPr="005C7F44">
        <w:rPr>
          <w:rFonts w:ascii="Times New Roman" w:hAnsi="Times New Roman" w:cs="Times New Roman"/>
          <w:sz w:val="20"/>
          <w:szCs w:val="20"/>
          <w:lang w:val="en-US"/>
        </w:rPr>
        <w:t>:</w:t>
      </w:r>
      <w:r w:rsidR="007C0DD5" w:rsidRPr="005C7F44">
        <w:rPr>
          <w:rFonts w:ascii="Times New Roman" w:hAnsi="Times New Roman" w:cs="Times New Roman"/>
          <w:i/>
          <w:iCs/>
          <w:sz w:val="20"/>
          <w:szCs w:val="20"/>
          <w:lang w:val="en-US"/>
        </w:rPr>
        <w:t xml:space="preserve"> Solar Community PV sector, without ESS, under 2024 MSP long term analysis. Normalized thermo-economic efficiency index </w:t>
      </w:r>
      <m:oMath>
        <m:sSub>
          <m:sSubPr>
            <m:ctrlPr>
              <w:rPr>
                <w:rFonts w:ascii="Cambria Math" w:hAnsi="Cambria Math" w:cs="Times New Roman"/>
                <w:i/>
                <w:iCs/>
                <w:sz w:val="20"/>
                <w:szCs w:val="20"/>
              </w:rPr>
            </m:ctrlPr>
          </m:sSubPr>
          <m:e>
            <m:r>
              <w:rPr>
                <w:rFonts w:ascii="Cambria Math" w:hAnsi="Cambria Math" w:cs="Times New Roman"/>
                <w:sz w:val="20"/>
                <w:szCs w:val="20"/>
                <w:lang w:val="en-US"/>
              </w:rPr>
              <m:t xml:space="preserve"> </m:t>
            </m:r>
            <m:r>
              <w:rPr>
                <w:rFonts w:ascii="Cambria Math" w:hAnsi="Cambria Math" w:cs="Times New Roman"/>
                <w:sz w:val="20"/>
                <w:szCs w:val="20"/>
              </w:rPr>
              <m:t>η</m:t>
            </m:r>
          </m:e>
          <m:sub>
            <m:r>
              <w:rPr>
                <w:rFonts w:ascii="Cambria Math" w:hAnsi="Cambria Math" w:cs="Times New Roman"/>
                <w:sz w:val="20"/>
                <w:szCs w:val="20"/>
              </w:rPr>
              <m:t>n</m:t>
            </m:r>
          </m:sub>
        </m:sSub>
      </m:oMath>
      <w:r w:rsidR="007C0DD5" w:rsidRPr="005C7F44">
        <w:rPr>
          <w:rFonts w:ascii="Times New Roman" w:hAnsi="Times New Roman" w:cs="Times New Roman"/>
          <w:i/>
          <w:iCs/>
          <w:sz w:val="20"/>
          <w:szCs w:val="20"/>
          <w:lang w:val="en-US"/>
        </w:rPr>
        <w:t>, as a function of the unit cost, for conventional and augmented booster reflector collector arrangement.</w:t>
      </w:r>
    </w:p>
    <w:p w14:paraId="2DAD5623" w14:textId="51A89898" w:rsidR="00684BF5" w:rsidRPr="005C7F44" w:rsidRDefault="00684BF5" w:rsidP="005C7F44">
      <w:pPr>
        <w:pStyle w:val="Caption"/>
        <w:spacing w:line="360" w:lineRule="auto"/>
        <w:jc w:val="center"/>
        <w:rPr>
          <w:rFonts w:ascii="Times New Roman" w:hAnsi="Times New Roman" w:cs="Times New Roman"/>
          <w:noProof/>
          <w:color w:val="auto"/>
          <w:sz w:val="20"/>
          <w:szCs w:val="20"/>
          <w:lang w:val="en-US"/>
        </w:rPr>
      </w:pPr>
    </w:p>
    <w:p w14:paraId="50FE2001" w14:textId="77777777" w:rsidR="002A555C" w:rsidRPr="005C7F44" w:rsidRDefault="006961BE" w:rsidP="005C7F44">
      <w:pPr>
        <w:keepNext/>
        <w:spacing w:line="360" w:lineRule="auto"/>
        <w:jc w:val="center"/>
        <w:rPr>
          <w:rFonts w:ascii="Times New Roman" w:hAnsi="Times New Roman" w:cs="Times New Roman"/>
          <w:sz w:val="20"/>
          <w:szCs w:val="20"/>
        </w:rPr>
      </w:pPr>
      <w:r w:rsidRPr="005C7F44">
        <w:rPr>
          <w:rFonts w:ascii="Times New Roman" w:hAnsi="Times New Roman" w:cs="Times New Roman"/>
          <w:noProof/>
          <w:sz w:val="20"/>
          <w:szCs w:val="20"/>
        </w:rPr>
        <w:drawing>
          <wp:inline distT="0" distB="0" distL="0" distR="0" wp14:anchorId="79C1EB1E" wp14:editId="3A03B938">
            <wp:extent cx="6093234" cy="3208351"/>
            <wp:effectExtent l="0" t="0" r="3175" b="0"/>
            <wp:docPr id="1403065665" name="Immagin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 rotWithShape="1"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781" r="817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0332" cy="32120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2A77F3E" w14:textId="601133D7" w:rsidR="00A63BED" w:rsidRPr="005C7F44" w:rsidRDefault="005C7F44" w:rsidP="005C7F44">
      <w:pPr>
        <w:spacing w:after="0" w:line="360" w:lineRule="auto"/>
        <w:jc w:val="center"/>
        <w:rPr>
          <w:rFonts w:ascii="Times New Roman" w:hAnsi="Times New Roman" w:cs="Times New Roman"/>
          <w:i/>
          <w:iCs/>
          <w:sz w:val="20"/>
          <w:szCs w:val="20"/>
          <w:lang w:val="en-US"/>
        </w:rPr>
      </w:pPr>
      <w:r>
        <w:rPr>
          <w:rFonts w:ascii="Times New Roman" w:hAnsi="Times New Roman" w:cs="Times New Roman"/>
          <w:sz w:val="20"/>
          <w:szCs w:val="20"/>
          <w:lang w:val="en-US"/>
        </w:rPr>
        <w:t>Figure</w:t>
      </w:r>
      <w:r w:rsidR="002A555C" w:rsidRPr="005C7F44">
        <w:rPr>
          <w:rFonts w:ascii="Times New Roman" w:hAnsi="Times New Roman" w:cs="Times New Roman"/>
          <w:sz w:val="20"/>
          <w:szCs w:val="20"/>
          <w:lang w:val="en-US"/>
        </w:rPr>
        <w:t xml:space="preserve"> </w:t>
      </w:r>
      <w:r w:rsidR="008A7BF2">
        <w:rPr>
          <w:rFonts w:ascii="Times New Roman" w:hAnsi="Times New Roman" w:cs="Times New Roman"/>
          <w:sz w:val="20"/>
          <w:szCs w:val="20"/>
          <w:lang w:val="en-US"/>
        </w:rPr>
        <w:t>D</w:t>
      </w:r>
      <w:r w:rsidR="002A555C" w:rsidRPr="005C7F44">
        <w:rPr>
          <w:rFonts w:ascii="Times New Roman" w:hAnsi="Times New Roman" w:cs="Times New Roman"/>
          <w:sz w:val="20"/>
          <w:szCs w:val="20"/>
        </w:rPr>
        <w:fldChar w:fldCharType="begin"/>
      </w:r>
      <w:r w:rsidR="002A555C" w:rsidRPr="005C7F44">
        <w:rPr>
          <w:rFonts w:ascii="Times New Roman" w:hAnsi="Times New Roman" w:cs="Times New Roman"/>
          <w:sz w:val="20"/>
          <w:szCs w:val="20"/>
          <w:lang w:val="en-US"/>
        </w:rPr>
        <w:instrText xml:space="preserve"> SEQ Figura \* ARABIC </w:instrText>
      </w:r>
      <w:r w:rsidR="002A555C" w:rsidRPr="005C7F44">
        <w:rPr>
          <w:rFonts w:ascii="Times New Roman" w:hAnsi="Times New Roman" w:cs="Times New Roman"/>
          <w:sz w:val="20"/>
          <w:szCs w:val="20"/>
        </w:rPr>
        <w:fldChar w:fldCharType="separate"/>
      </w:r>
      <w:r w:rsidR="002A555C" w:rsidRPr="005C7F44">
        <w:rPr>
          <w:rFonts w:ascii="Times New Roman" w:hAnsi="Times New Roman" w:cs="Times New Roman"/>
          <w:noProof/>
          <w:sz w:val="20"/>
          <w:szCs w:val="20"/>
          <w:lang w:val="en-US"/>
        </w:rPr>
        <w:t>4</w:t>
      </w:r>
      <w:r w:rsidR="002A555C" w:rsidRPr="005C7F44">
        <w:rPr>
          <w:rFonts w:ascii="Times New Roman" w:hAnsi="Times New Roman" w:cs="Times New Roman"/>
          <w:sz w:val="20"/>
          <w:szCs w:val="20"/>
        </w:rPr>
        <w:fldChar w:fldCharType="end"/>
      </w:r>
      <w:r w:rsidR="002A555C" w:rsidRPr="005C7F44">
        <w:rPr>
          <w:rFonts w:ascii="Times New Roman" w:hAnsi="Times New Roman" w:cs="Times New Roman"/>
          <w:sz w:val="20"/>
          <w:szCs w:val="20"/>
          <w:lang w:val="en-US"/>
        </w:rPr>
        <w:t>:</w:t>
      </w:r>
      <w:r w:rsidR="007C0DD5" w:rsidRPr="005C7F44">
        <w:rPr>
          <w:rFonts w:ascii="Times New Roman" w:hAnsi="Times New Roman" w:cs="Times New Roman"/>
          <w:sz w:val="20"/>
          <w:szCs w:val="20"/>
          <w:lang w:val="en-US"/>
        </w:rPr>
        <w:t xml:space="preserve"> </w:t>
      </w:r>
      <w:r w:rsidR="00A63BED" w:rsidRPr="005C7F44">
        <w:rPr>
          <w:rFonts w:ascii="Times New Roman" w:hAnsi="Times New Roman" w:cs="Times New Roman"/>
          <w:i/>
          <w:iCs/>
          <w:sz w:val="20"/>
          <w:szCs w:val="20"/>
          <w:lang w:val="en-US"/>
        </w:rPr>
        <w:t xml:space="preserve">Solar Community PV sector, with ESS, under 2024 MSP long term analysis. Normalized thermo-economic efficiency index </w:t>
      </w:r>
      <m:oMath>
        <m:sSub>
          <m:sSubPr>
            <m:ctrlPr>
              <w:rPr>
                <w:rFonts w:ascii="Cambria Math" w:hAnsi="Cambria Math" w:cs="Times New Roman"/>
                <w:i/>
                <w:iCs/>
                <w:sz w:val="20"/>
                <w:szCs w:val="20"/>
              </w:rPr>
            </m:ctrlPr>
          </m:sSubPr>
          <m:e>
            <m:r>
              <w:rPr>
                <w:rFonts w:ascii="Cambria Math" w:hAnsi="Cambria Math" w:cs="Times New Roman"/>
                <w:sz w:val="20"/>
                <w:szCs w:val="20"/>
                <w:lang w:val="en-US"/>
              </w:rPr>
              <m:t xml:space="preserve"> </m:t>
            </m:r>
            <m:r>
              <w:rPr>
                <w:rFonts w:ascii="Cambria Math" w:hAnsi="Cambria Math" w:cs="Times New Roman"/>
                <w:sz w:val="20"/>
                <w:szCs w:val="20"/>
              </w:rPr>
              <m:t>η</m:t>
            </m:r>
          </m:e>
          <m:sub>
            <m:r>
              <w:rPr>
                <w:rFonts w:ascii="Cambria Math" w:hAnsi="Cambria Math" w:cs="Times New Roman"/>
                <w:sz w:val="20"/>
                <w:szCs w:val="20"/>
              </w:rPr>
              <m:t>n</m:t>
            </m:r>
          </m:sub>
        </m:sSub>
      </m:oMath>
      <w:r w:rsidR="00A63BED" w:rsidRPr="005C7F44">
        <w:rPr>
          <w:rFonts w:ascii="Times New Roman" w:hAnsi="Times New Roman" w:cs="Times New Roman"/>
          <w:i/>
          <w:iCs/>
          <w:sz w:val="20"/>
          <w:szCs w:val="20"/>
          <w:lang w:val="en-US"/>
        </w:rPr>
        <w:t>, as a function of the unit cost, for conventional and augmented booster reflector collector arrangement.</w:t>
      </w:r>
    </w:p>
    <w:p w14:paraId="059D49D8" w14:textId="0EC9444B" w:rsidR="006961BE" w:rsidRPr="005C7F44" w:rsidRDefault="006961BE" w:rsidP="005C7F44">
      <w:pPr>
        <w:pStyle w:val="Caption"/>
        <w:spacing w:line="360" w:lineRule="auto"/>
        <w:jc w:val="center"/>
        <w:rPr>
          <w:rFonts w:ascii="Times New Roman" w:hAnsi="Times New Roman" w:cs="Times New Roman"/>
          <w:color w:val="auto"/>
          <w:sz w:val="20"/>
          <w:szCs w:val="20"/>
          <w:lang w:val="en-US"/>
        </w:rPr>
      </w:pPr>
    </w:p>
    <w:p w14:paraId="617796C6" w14:textId="77777777" w:rsidR="002A555C" w:rsidRPr="005C7F44" w:rsidRDefault="00A40993" w:rsidP="005C7F44">
      <w:pPr>
        <w:keepNext/>
        <w:spacing w:line="360" w:lineRule="auto"/>
        <w:jc w:val="center"/>
        <w:rPr>
          <w:rFonts w:ascii="Times New Roman" w:hAnsi="Times New Roman" w:cs="Times New Roman"/>
          <w:sz w:val="20"/>
          <w:szCs w:val="20"/>
        </w:rPr>
      </w:pPr>
      <w:r w:rsidRPr="005C7F44">
        <w:rPr>
          <w:rFonts w:ascii="Times New Roman" w:hAnsi="Times New Roman" w:cs="Times New Roman"/>
          <w:noProof/>
          <w:sz w:val="20"/>
          <w:szCs w:val="20"/>
        </w:rPr>
        <w:lastRenderedPageBreak/>
        <w:drawing>
          <wp:inline distT="0" distB="0" distL="0" distR="0" wp14:anchorId="38ECF5AA" wp14:editId="24F15B78">
            <wp:extent cx="6099516" cy="3407134"/>
            <wp:effectExtent l="0" t="0" r="0" b="3175"/>
            <wp:docPr id="2007111964" name="Immagin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263" r="879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46" cy="34158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5B90BD1" w14:textId="0EFEB69F" w:rsidR="00BF7FB4" w:rsidRPr="005C7F44" w:rsidRDefault="005C7F44" w:rsidP="005C7F44">
      <w:pPr>
        <w:pStyle w:val="Caption"/>
        <w:spacing w:line="360" w:lineRule="auto"/>
        <w:jc w:val="center"/>
        <w:rPr>
          <w:rFonts w:ascii="Times New Roman" w:hAnsi="Times New Roman" w:cs="Times New Roman"/>
          <w:color w:val="auto"/>
          <w:sz w:val="20"/>
          <w:szCs w:val="20"/>
          <w:lang w:val="en-US"/>
        </w:rPr>
      </w:pPr>
      <w:r>
        <w:rPr>
          <w:rFonts w:ascii="Times New Roman" w:hAnsi="Times New Roman" w:cs="Times New Roman"/>
          <w:color w:val="auto"/>
          <w:sz w:val="20"/>
          <w:szCs w:val="20"/>
          <w:lang w:val="en-US"/>
        </w:rPr>
        <w:t>Figure</w:t>
      </w:r>
      <w:r w:rsidR="002A555C" w:rsidRPr="005C7F44">
        <w:rPr>
          <w:rFonts w:ascii="Times New Roman" w:hAnsi="Times New Roman" w:cs="Times New Roman"/>
          <w:color w:val="auto"/>
          <w:sz w:val="20"/>
          <w:szCs w:val="20"/>
          <w:lang w:val="en-US"/>
        </w:rPr>
        <w:t xml:space="preserve"> </w:t>
      </w:r>
      <w:r w:rsidR="008A7BF2">
        <w:rPr>
          <w:rFonts w:ascii="Times New Roman" w:hAnsi="Times New Roman" w:cs="Times New Roman"/>
          <w:color w:val="auto"/>
          <w:sz w:val="20"/>
          <w:szCs w:val="20"/>
          <w:lang w:val="en-US"/>
        </w:rPr>
        <w:t>D</w:t>
      </w:r>
      <w:r w:rsidR="002A555C" w:rsidRPr="005C7F44">
        <w:rPr>
          <w:rFonts w:ascii="Times New Roman" w:hAnsi="Times New Roman" w:cs="Times New Roman"/>
          <w:color w:val="auto"/>
          <w:sz w:val="20"/>
          <w:szCs w:val="20"/>
        </w:rPr>
        <w:fldChar w:fldCharType="begin"/>
      </w:r>
      <w:r w:rsidR="002A555C" w:rsidRPr="005C7F44">
        <w:rPr>
          <w:rFonts w:ascii="Times New Roman" w:hAnsi="Times New Roman" w:cs="Times New Roman"/>
          <w:color w:val="auto"/>
          <w:sz w:val="20"/>
          <w:szCs w:val="20"/>
          <w:lang w:val="en-US"/>
        </w:rPr>
        <w:instrText xml:space="preserve"> SEQ Figura \* ARABIC </w:instrText>
      </w:r>
      <w:r w:rsidR="002A555C" w:rsidRPr="005C7F44">
        <w:rPr>
          <w:rFonts w:ascii="Times New Roman" w:hAnsi="Times New Roman" w:cs="Times New Roman"/>
          <w:color w:val="auto"/>
          <w:sz w:val="20"/>
          <w:szCs w:val="20"/>
        </w:rPr>
        <w:fldChar w:fldCharType="separate"/>
      </w:r>
      <w:r w:rsidR="002A555C" w:rsidRPr="005C7F44">
        <w:rPr>
          <w:rFonts w:ascii="Times New Roman" w:hAnsi="Times New Roman" w:cs="Times New Roman"/>
          <w:noProof/>
          <w:color w:val="auto"/>
          <w:sz w:val="20"/>
          <w:szCs w:val="20"/>
          <w:lang w:val="en-US"/>
        </w:rPr>
        <w:t>5</w:t>
      </w:r>
      <w:r w:rsidR="002A555C" w:rsidRPr="005C7F44">
        <w:rPr>
          <w:rFonts w:ascii="Times New Roman" w:hAnsi="Times New Roman" w:cs="Times New Roman"/>
          <w:color w:val="auto"/>
          <w:sz w:val="20"/>
          <w:szCs w:val="20"/>
        </w:rPr>
        <w:fldChar w:fldCharType="end"/>
      </w:r>
      <w:r w:rsidRPr="005C7F44">
        <w:rPr>
          <w:rFonts w:ascii="Times New Roman" w:hAnsi="Times New Roman" w:cs="Times New Roman"/>
          <w:color w:val="auto"/>
          <w:sz w:val="20"/>
          <w:szCs w:val="20"/>
          <w:lang w:val="en-US"/>
        </w:rPr>
        <w:t xml:space="preserve">: </w:t>
      </w:r>
      <w:r w:rsidR="00BF7FB4" w:rsidRPr="005C7F44">
        <w:rPr>
          <w:rFonts w:ascii="Times New Roman" w:hAnsi="Times New Roman" w:cs="Times New Roman"/>
          <w:color w:val="auto"/>
          <w:sz w:val="20"/>
          <w:szCs w:val="20"/>
          <w:lang w:val="en-US"/>
        </w:rPr>
        <w:t xml:space="preserve">Utility Scale PV sector, without ESS, under 2024 MSP long term analysis. Normalized thermo-economic efficiency index </w:t>
      </w:r>
      <m:oMath>
        <m:sSub>
          <m:sSubPr>
            <m:ctrlPr>
              <w:rPr>
                <w:rFonts w:ascii="Cambria Math" w:hAnsi="Cambria Math" w:cs="Times New Roman"/>
                <w:color w:val="auto"/>
                <w:sz w:val="20"/>
                <w:szCs w:val="20"/>
              </w:rPr>
            </m:ctrlPr>
          </m:sSubPr>
          <m:e>
            <m:r>
              <w:rPr>
                <w:rFonts w:ascii="Cambria Math" w:hAnsi="Cambria Math" w:cs="Times New Roman"/>
                <w:color w:val="auto"/>
                <w:sz w:val="20"/>
                <w:szCs w:val="20"/>
                <w:lang w:val="en-US"/>
              </w:rPr>
              <m:t xml:space="preserve"> </m:t>
            </m:r>
            <m:r>
              <w:rPr>
                <w:rFonts w:ascii="Cambria Math" w:hAnsi="Cambria Math" w:cs="Times New Roman"/>
                <w:color w:val="auto"/>
                <w:sz w:val="20"/>
                <w:szCs w:val="20"/>
              </w:rPr>
              <m:t>η</m:t>
            </m:r>
          </m:e>
          <m:sub>
            <m:r>
              <w:rPr>
                <w:rFonts w:ascii="Cambria Math" w:hAnsi="Cambria Math" w:cs="Times New Roman"/>
                <w:color w:val="auto"/>
                <w:sz w:val="20"/>
                <w:szCs w:val="20"/>
              </w:rPr>
              <m:t>n</m:t>
            </m:r>
          </m:sub>
        </m:sSub>
      </m:oMath>
      <w:r w:rsidR="00BF7FB4" w:rsidRPr="005C7F44">
        <w:rPr>
          <w:rFonts w:ascii="Times New Roman" w:hAnsi="Times New Roman" w:cs="Times New Roman"/>
          <w:color w:val="auto"/>
          <w:sz w:val="20"/>
          <w:szCs w:val="20"/>
          <w:lang w:val="en-US"/>
        </w:rPr>
        <w:t>, as a function of the unit cost, for conventional and augmented booster reflector collector arrangement.</w:t>
      </w:r>
    </w:p>
    <w:p w14:paraId="5E9D4FB8" w14:textId="77777777" w:rsidR="002A555C" w:rsidRPr="005C7F44" w:rsidRDefault="00C42ABF" w:rsidP="005C7F44">
      <w:pPr>
        <w:keepNext/>
        <w:spacing w:line="360" w:lineRule="auto"/>
        <w:jc w:val="center"/>
        <w:rPr>
          <w:rFonts w:ascii="Times New Roman" w:hAnsi="Times New Roman" w:cs="Times New Roman"/>
          <w:sz w:val="20"/>
          <w:szCs w:val="20"/>
        </w:rPr>
      </w:pPr>
      <w:r w:rsidRPr="005C7F44">
        <w:rPr>
          <w:rFonts w:ascii="Times New Roman" w:hAnsi="Times New Roman" w:cs="Times New Roman"/>
          <w:noProof/>
          <w:sz w:val="20"/>
          <w:szCs w:val="20"/>
        </w:rPr>
        <w:drawing>
          <wp:inline distT="0" distB="0" distL="0" distR="0" wp14:anchorId="0D030C71" wp14:editId="73CA805E">
            <wp:extent cx="6199239" cy="3424738"/>
            <wp:effectExtent l="0" t="0" r="0" b="4445"/>
            <wp:docPr id="1439663112" name="Immagin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782" r="734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3667" cy="34327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8C068A4" w14:textId="5CB09A5F" w:rsidR="005C7F44" w:rsidRPr="005C7F44" w:rsidRDefault="005C7F44" w:rsidP="005C7F44">
      <w:pPr>
        <w:pStyle w:val="Caption"/>
        <w:spacing w:line="360" w:lineRule="auto"/>
        <w:jc w:val="center"/>
        <w:rPr>
          <w:rFonts w:ascii="Times New Roman" w:hAnsi="Times New Roman" w:cs="Times New Roman"/>
          <w:color w:val="auto"/>
          <w:sz w:val="20"/>
          <w:szCs w:val="20"/>
          <w:lang w:val="en-US"/>
        </w:rPr>
      </w:pPr>
      <w:r>
        <w:rPr>
          <w:rFonts w:ascii="Times New Roman" w:hAnsi="Times New Roman" w:cs="Times New Roman"/>
          <w:color w:val="auto"/>
          <w:sz w:val="20"/>
          <w:szCs w:val="20"/>
          <w:lang w:val="en-US"/>
        </w:rPr>
        <w:t>Figure</w:t>
      </w:r>
      <w:r w:rsidR="002A555C" w:rsidRPr="005C7F44">
        <w:rPr>
          <w:rFonts w:ascii="Times New Roman" w:hAnsi="Times New Roman" w:cs="Times New Roman"/>
          <w:color w:val="auto"/>
          <w:sz w:val="20"/>
          <w:szCs w:val="20"/>
          <w:lang w:val="en-US"/>
        </w:rPr>
        <w:t xml:space="preserve"> </w:t>
      </w:r>
      <w:r w:rsidR="008A7BF2">
        <w:rPr>
          <w:rFonts w:ascii="Times New Roman" w:hAnsi="Times New Roman" w:cs="Times New Roman"/>
          <w:color w:val="auto"/>
          <w:sz w:val="20"/>
          <w:szCs w:val="20"/>
          <w:lang w:val="en-US"/>
        </w:rPr>
        <w:t>D</w:t>
      </w:r>
      <w:r w:rsidR="002A555C" w:rsidRPr="005C7F44">
        <w:rPr>
          <w:rFonts w:ascii="Times New Roman" w:hAnsi="Times New Roman" w:cs="Times New Roman"/>
          <w:color w:val="auto"/>
          <w:sz w:val="20"/>
          <w:szCs w:val="20"/>
        </w:rPr>
        <w:fldChar w:fldCharType="begin"/>
      </w:r>
      <w:r w:rsidR="002A555C" w:rsidRPr="005C7F44">
        <w:rPr>
          <w:rFonts w:ascii="Times New Roman" w:hAnsi="Times New Roman" w:cs="Times New Roman"/>
          <w:color w:val="auto"/>
          <w:sz w:val="20"/>
          <w:szCs w:val="20"/>
          <w:lang w:val="en-US"/>
        </w:rPr>
        <w:instrText xml:space="preserve"> SEQ Figura \* ARABIC </w:instrText>
      </w:r>
      <w:r w:rsidR="002A555C" w:rsidRPr="005C7F44">
        <w:rPr>
          <w:rFonts w:ascii="Times New Roman" w:hAnsi="Times New Roman" w:cs="Times New Roman"/>
          <w:color w:val="auto"/>
          <w:sz w:val="20"/>
          <w:szCs w:val="20"/>
        </w:rPr>
        <w:fldChar w:fldCharType="separate"/>
      </w:r>
      <w:r w:rsidR="002A555C" w:rsidRPr="005C7F44">
        <w:rPr>
          <w:rFonts w:ascii="Times New Roman" w:hAnsi="Times New Roman" w:cs="Times New Roman"/>
          <w:noProof/>
          <w:color w:val="auto"/>
          <w:sz w:val="20"/>
          <w:szCs w:val="20"/>
          <w:lang w:val="en-US"/>
        </w:rPr>
        <w:t>6</w:t>
      </w:r>
      <w:r w:rsidR="002A555C" w:rsidRPr="005C7F44">
        <w:rPr>
          <w:rFonts w:ascii="Times New Roman" w:hAnsi="Times New Roman" w:cs="Times New Roman"/>
          <w:color w:val="auto"/>
          <w:sz w:val="20"/>
          <w:szCs w:val="20"/>
        </w:rPr>
        <w:fldChar w:fldCharType="end"/>
      </w:r>
      <w:r w:rsidR="002A555C" w:rsidRPr="005C7F44">
        <w:rPr>
          <w:rFonts w:ascii="Times New Roman" w:hAnsi="Times New Roman" w:cs="Times New Roman"/>
          <w:color w:val="auto"/>
          <w:sz w:val="20"/>
          <w:szCs w:val="20"/>
          <w:lang w:val="en-US"/>
        </w:rPr>
        <w:t>:</w:t>
      </w:r>
      <w:r w:rsidRPr="005C7F44">
        <w:rPr>
          <w:rFonts w:ascii="Times New Roman" w:hAnsi="Times New Roman" w:cs="Times New Roman"/>
          <w:color w:val="auto"/>
          <w:sz w:val="20"/>
          <w:szCs w:val="20"/>
          <w:lang w:val="en-US"/>
        </w:rPr>
        <w:t xml:space="preserve"> Utility Scale PV sector, with ESS, under 2024 MSP long term analysis. Normalized thermo-economic efficiency index </w:t>
      </w:r>
      <m:oMath>
        <m:sSub>
          <m:sSubPr>
            <m:ctrlPr>
              <w:rPr>
                <w:rFonts w:ascii="Cambria Math" w:hAnsi="Cambria Math" w:cs="Times New Roman"/>
                <w:color w:val="auto"/>
                <w:sz w:val="20"/>
                <w:szCs w:val="20"/>
              </w:rPr>
            </m:ctrlPr>
          </m:sSubPr>
          <m:e>
            <m:r>
              <w:rPr>
                <w:rFonts w:ascii="Cambria Math" w:hAnsi="Cambria Math" w:cs="Times New Roman"/>
                <w:color w:val="auto"/>
                <w:sz w:val="20"/>
                <w:szCs w:val="20"/>
                <w:lang w:val="en-US"/>
              </w:rPr>
              <m:t xml:space="preserve"> </m:t>
            </m:r>
            <m:r>
              <w:rPr>
                <w:rFonts w:ascii="Cambria Math" w:hAnsi="Cambria Math" w:cs="Times New Roman"/>
                <w:color w:val="auto"/>
                <w:sz w:val="20"/>
                <w:szCs w:val="20"/>
              </w:rPr>
              <m:t>η</m:t>
            </m:r>
          </m:e>
          <m:sub>
            <m:r>
              <w:rPr>
                <w:rFonts w:ascii="Cambria Math" w:hAnsi="Cambria Math" w:cs="Times New Roman"/>
                <w:color w:val="auto"/>
                <w:sz w:val="20"/>
                <w:szCs w:val="20"/>
              </w:rPr>
              <m:t>n</m:t>
            </m:r>
          </m:sub>
        </m:sSub>
      </m:oMath>
      <w:r w:rsidRPr="005C7F44">
        <w:rPr>
          <w:rFonts w:ascii="Times New Roman" w:hAnsi="Times New Roman" w:cs="Times New Roman"/>
          <w:color w:val="auto"/>
          <w:sz w:val="20"/>
          <w:szCs w:val="20"/>
          <w:lang w:val="en-US"/>
        </w:rPr>
        <w:t>, as a function of the unit cost, for conventional and augmented booster reflector collector arrangement.</w:t>
      </w:r>
    </w:p>
    <w:p w14:paraId="37E5124F" w14:textId="587B21DC" w:rsidR="002D30E3" w:rsidRPr="005C7F44" w:rsidRDefault="002D30E3" w:rsidP="005C7F44">
      <w:pPr>
        <w:pStyle w:val="Caption"/>
        <w:spacing w:line="360" w:lineRule="auto"/>
        <w:jc w:val="center"/>
        <w:rPr>
          <w:rFonts w:ascii="Times New Roman" w:hAnsi="Times New Roman" w:cs="Times New Roman"/>
          <w:color w:val="auto"/>
          <w:sz w:val="20"/>
          <w:szCs w:val="20"/>
          <w:lang w:val="en-US"/>
        </w:rPr>
      </w:pPr>
    </w:p>
    <w:sectPr w:rsidR="002D30E3" w:rsidRPr="005C7F44">
      <w:pgSz w:w="11906" w:h="16838"/>
      <w:pgMar w:top="1417" w:right="1134" w:bottom="1134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31"/>
  <w:proofState w:spelling="clean" w:grammar="clean"/>
  <w:defaultTabStop w:val="708"/>
  <w:hyphenationZone w:val="283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D596F"/>
    <w:rsid w:val="00113070"/>
    <w:rsid w:val="001261B3"/>
    <w:rsid w:val="001909ED"/>
    <w:rsid w:val="002A555C"/>
    <w:rsid w:val="002D30E3"/>
    <w:rsid w:val="002D596F"/>
    <w:rsid w:val="003159DC"/>
    <w:rsid w:val="0035102C"/>
    <w:rsid w:val="00374B61"/>
    <w:rsid w:val="003F4D09"/>
    <w:rsid w:val="00456088"/>
    <w:rsid w:val="00531F91"/>
    <w:rsid w:val="005A06CA"/>
    <w:rsid w:val="005B51BD"/>
    <w:rsid w:val="005C7F44"/>
    <w:rsid w:val="00684BF5"/>
    <w:rsid w:val="00695153"/>
    <w:rsid w:val="006961BE"/>
    <w:rsid w:val="00756B2D"/>
    <w:rsid w:val="00766F7B"/>
    <w:rsid w:val="007C0DD5"/>
    <w:rsid w:val="007F270D"/>
    <w:rsid w:val="008A7BF2"/>
    <w:rsid w:val="008F223A"/>
    <w:rsid w:val="00925169"/>
    <w:rsid w:val="009F490F"/>
    <w:rsid w:val="00A05CE8"/>
    <w:rsid w:val="00A36C02"/>
    <w:rsid w:val="00A40993"/>
    <w:rsid w:val="00A63BED"/>
    <w:rsid w:val="00A72EB1"/>
    <w:rsid w:val="00B30B69"/>
    <w:rsid w:val="00B73C37"/>
    <w:rsid w:val="00BF7FB4"/>
    <w:rsid w:val="00C42ABF"/>
    <w:rsid w:val="00C93B32"/>
    <w:rsid w:val="00C95770"/>
    <w:rsid w:val="00CC37BF"/>
    <w:rsid w:val="00CD1330"/>
    <w:rsid w:val="00D60DB2"/>
    <w:rsid w:val="00E97111"/>
    <w:rsid w:val="00ED5633"/>
    <w:rsid w:val="00FE65E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  <w14:docId w14:val="64336A83"/>
  <w15:chartTrackingRefBased/>
  <w15:docId w15:val="{4E839F9C-BE52-47A3-91FF-C9B31255691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it-IT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2D596F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2D596F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2D596F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2D596F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2D596F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2D596F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2D596F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2D596F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2D596F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2D596F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2D596F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2D596F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2D596F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2D596F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2D596F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2D596F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2D596F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2D596F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2D596F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2D596F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2D596F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2D596F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2D596F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2D596F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2D596F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2D596F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2D596F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2D596F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2D596F"/>
    <w:rPr>
      <w:b/>
      <w:bCs/>
      <w:smallCaps/>
      <w:color w:val="0F4761" w:themeColor="accent1" w:themeShade="BF"/>
      <w:spacing w:val="5"/>
    </w:rPr>
  </w:style>
  <w:style w:type="paragraph" w:styleId="Caption">
    <w:name w:val="caption"/>
    <w:basedOn w:val="Normal"/>
    <w:next w:val="Normal"/>
    <w:uiPriority w:val="35"/>
    <w:unhideWhenUsed/>
    <w:qFormat/>
    <w:rsid w:val="002A555C"/>
    <w:pPr>
      <w:spacing w:after="200" w:line="240" w:lineRule="auto"/>
    </w:pPr>
    <w:rPr>
      <w:i/>
      <w:iCs/>
      <w:color w:val="0E2841" w:themeColor="text2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emf"/><Relationship Id="rId3" Type="http://schemas.openxmlformats.org/officeDocument/2006/relationships/webSettings" Target="webSettings.xml"/><Relationship Id="rId7" Type="http://schemas.openxmlformats.org/officeDocument/2006/relationships/image" Target="media/image4.emf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emf"/><Relationship Id="rId11" Type="http://schemas.openxmlformats.org/officeDocument/2006/relationships/theme" Target="theme/theme1.xml"/><Relationship Id="rId5" Type="http://schemas.openxmlformats.org/officeDocument/2006/relationships/image" Target="media/image2.emf"/><Relationship Id="rId10" Type="http://schemas.openxmlformats.org/officeDocument/2006/relationships/fontTable" Target="fontTable.xml"/><Relationship Id="rId4" Type="http://schemas.openxmlformats.org/officeDocument/2006/relationships/image" Target="media/image1.emf"/><Relationship Id="rId9" Type="http://schemas.openxmlformats.org/officeDocument/2006/relationships/image" Target="media/image6.emf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1429</TotalTime>
  <Pages>3</Pages>
  <Words>241</Words>
  <Characters>1379</Characters>
  <Application>Microsoft Office Word</Application>
  <DocSecurity>0</DocSecurity>
  <Lines>11</Lines>
  <Paragraphs>3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1617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Roberto Baccoli</dc:creator>
  <cp:keywords/>
  <dc:description/>
  <cp:lastModifiedBy>Armando Di Meglio</cp:lastModifiedBy>
  <cp:revision>20</cp:revision>
  <dcterms:created xsi:type="dcterms:W3CDTF">2025-10-18T09:10:00Z</dcterms:created>
  <dcterms:modified xsi:type="dcterms:W3CDTF">2026-02-01T10:52:00Z</dcterms:modified>
</cp:coreProperties>
</file>